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561E" w14:textId="77777777" w:rsidR="00743231" w:rsidRPr="009511F7" w:rsidRDefault="00743231">
      <w:pPr>
        <w:pStyle w:val="Body"/>
        <w:spacing w:after="0" w:line="276" w:lineRule="auto"/>
        <w:rPr>
          <w:color w:val="244061"/>
          <w:sz w:val="28"/>
          <w:szCs w:val="28"/>
          <w:u w:color="244061"/>
        </w:rPr>
      </w:pPr>
    </w:p>
    <w:p w14:paraId="3322E79E" w14:textId="5B9D18C6" w:rsidR="00732422" w:rsidRPr="001D3A7B" w:rsidRDefault="006A4AF8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Job title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>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1D3A7B" w:rsidRPr="001D3A7B">
        <w:rPr>
          <w:b/>
          <w:bCs/>
          <w:color w:val="244061"/>
          <w:sz w:val="20"/>
          <w:szCs w:val="20"/>
          <w:u w:color="244061"/>
        </w:rPr>
        <w:tab/>
      </w:r>
      <w:r w:rsidR="00F57FCB">
        <w:rPr>
          <w:b/>
          <w:bCs/>
          <w:color w:val="244061"/>
          <w:sz w:val="20"/>
          <w:szCs w:val="20"/>
          <w:u w:color="244061"/>
        </w:rPr>
        <w:t xml:space="preserve">National 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 xml:space="preserve">Consultant – National Population Policy </w:t>
      </w:r>
    </w:p>
    <w:p w14:paraId="68B83633" w14:textId="18C50A74" w:rsidR="004E506B" w:rsidRPr="001D3A7B" w:rsidRDefault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="00F57FCB">
        <w:rPr>
          <w:b/>
          <w:bCs/>
          <w:color w:val="244061"/>
          <w:sz w:val="20"/>
          <w:szCs w:val="20"/>
          <w:u w:color="244061"/>
        </w:rPr>
        <w:t xml:space="preserve">Mid- term </w:t>
      </w:r>
      <w:r w:rsidRPr="001D3A7B">
        <w:rPr>
          <w:b/>
          <w:bCs/>
          <w:color w:val="244061"/>
          <w:sz w:val="20"/>
          <w:szCs w:val="20"/>
          <w:u w:color="244061"/>
        </w:rPr>
        <w:t xml:space="preserve">Review </w:t>
      </w:r>
    </w:p>
    <w:p w14:paraId="4339820F" w14:textId="0794CCC3" w:rsidR="00743231" w:rsidRDefault="00732422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Level:</w:t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9511F7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4E506B" w:rsidRPr="001D3A7B">
        <w:rPr>
          <w:bCs/>
          <w:color w:val="auto"/>
          <w:sz w:val="20"/>
          <w:szCs w:val="20"/>
          <w:u w:color="244061"/>
        </w:rPr>
        <w:t xml:space="preserve">Consultancy </w:t>
      </w:r>
      <w:r w:rsidR="00306E90">
        <w:rPr>
          <w:bCs/>
          <w:color w:val="auto"/>
          <w:sz w:val="20"/>
          <w:szCs w:val="20"/>
          <w:u w:color="244061"/>
        </w:rPr>
        <w:t>eq</w:t>
      </w:r>
      <w:r w:rsidR="004E506B" w:rsidRPr="001D3A7B">
        <w:rPr>
          <w:bCs/>
          <w:color w:val="auto"/>
          <w:sz w:val="20"/>
          <w:szCs w:val="20"/>
          <w:u w:color="244061"/>
        </w:rPr>
        <w:t>uivalent to gross of staff position level</w:t>
      </w:r>
      <w:r w:rsidR="00F57FCB">
        <w:rPr>
          <w:bCs/>
          <w:color w:val="auto"/>
          <w:sz w:val="20"/>
          <w:szCs w:val="20"/>
          <w:u w:color="244061"/>
        </w:rPr>
        <w:t xml:space="preserve"> NOC </w:t>
      </w:r>
    </w:p>
    <w:p w14:paraId="4BFCF0FC" w14:textId="754A9DB5" w:rsidR="001D3A7B" w:rsidRPr="001D3A7B" w:rsidRDefault="001D3A7B">
      <w:pPr>
        <w:pStyle w:val="Body"/>
        <w:spacing w:after="0" w:line="276" w:lineRule="auto"/>
        <w:rPr>
          <w:bCs/>
          <w:color w:val="auto"/>
          <w:sz w:val="20"/>
          <w:szCs w:val="20"/>
          <w:u w:color="244061"/>
        </w:rPr>
      </w:pPr>
      <w:r w:rsidRPr="001D3A7B">
        <w:rPr>
          <w:b/>
          <w:bCs/>
          <w:color w:val="1F4E79" w:themeColor="accent1" w:themeShade="80"/>
          <w:sz w:val="20"/>
          <w:szCs w:val="20"/>
          <w:u w:color="244061"/>
        </w:rPr>
        <w:t xml:space="preserve">Application Closing date: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 xml:space="preserve">                 </w:t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/>
          <w:bCs/>
          <w:color w:val="1F4E79" w:themeColor="accent1" w:themeShade="80"/>
          <w:sz w:val="20"/>
          <w:szCs w:val="20"/>
          <w:u w:color="244061"/>
        </w:rPr>
        <w:tab/>
      </w:r>
      <w:r>
        <w:rPr>
          <w:bCs/>
          <w:color w:val="auto"/>
          <w:sz w:val="20"/>
          <w:szCs w:val="20"/>
          <w:u w:color="244061"/>
        </w:rPr>
        <w:t>21 June 2023</w:t>
      </w:r>
    </w:p>
    <w:p w14:paraId="76B63827" w14:textId="18507309" w:rsidR="00743231" w:rsidRPr="001D3A7B" w:rsidRDefault="006A4AF8" w:rsidP="004E506B">
      <w:pPr>
        <w:pStyle w:val="Body"/>
        <w:spacing w:after="0" w:line="276" w:lineRule="auto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Location:</w:t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Pr="001D3A7B">
        <w:rPr>
          <w:b/>
          <w:bCs/>
          <w:color w:val="244061"/>
          <w:sz w:val="20"/>
          <w:szCs w:val="20"/>
          <w:u w:color="244061"/>
        </w:rPr>
        <w:tab/>
      </w:r>
      <w:r w:rsidR="00F57FCB">
        <w:rPr>
          <w:sz w:val="20"/>
          <w:szCs w:val="20"/>
        </w:rPr>
        <w:t>Port Moresby</w:t>
      </w:r>
      <w:r w:rsidR="004A31FF" w:rsidRPr="001D3A7B">
        <w:rPr>
          <w:b/>
          <w:bCs/>
          <w:color w:val="244061"/>
          <w:sz w:val="20"/>
          <w:szCs w:val="20"/>
          <w:u w:color="244061"/>
        </w:rPr>
        <w:tab/>
      </w:r>
    </w:p>
    <w:p w14:paraId="61A26ED6" w14:textId="2E9FEA92" w:rsidR="009511F7" w:rsidRPr="001D3A7B" w:rsidRDefault="001D3A7B" w:rsidP="009511F7">
      <w:pPr>
        <w:pStyle w:val="Body"/>
        <w:spacing w:after="0" w:line="276" w:lineRule="auto"/>
        <w:ind w:left="3600" w:hanging="3600"/>
        <w:rPr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>Duration:</w:t>
      </w:r>
      <w:r w:rsidR="004E506B" w:rsidRPr="001D3A7B">
        <w:rPr>
          <w:b/>
          <w:bCs/>
          <w:color w:val="244061"/>
          <w:sz w:val="20"/>
          <w:szCs w:val="20"/>
          <w:u w:color="244061"/>
        </w:rPr>
        <w:tab/>
      </w:r>
      <w:r w:rsidR="00F57FCB">
        <w:rPr>
          <w:bCs/>
          <w:color w:val="244061"/>
          <w:sz w:val="20"/>
          <w:szCs w:val="20"/>
          <w:u w:color="244061"/>
        </w:rPr>
        <w:t xml:space="preserve">40 </w:t>
      </w:r>
      <w:proofErr w:type="gramStart"/>
      <w:r w:rsidR="004E506B" w:rsidRPr="001D3A7B">
        <w:rPr>
          <w:bCs/>
          <w:color w:val="244061"/>
          <w:sz w:val="20"/>
          <w:szCs w:val="20"/>
          <w:u w:color="244061"/>
        </w:rPr>
        <w:t xml:space="preserve">days </w:t>
      </w:r>
      <w:r w:rsidR="00555D3A">
        <w:rPr>
          <w:bCs/>
          <w:color w:val="244061"/>
          <w:sz w:val="20"/>
          <w:szCs w:val="20"/>
          <w:u w:color="244061"/>
        </w:rPr>
        <w:t xml:space="preserve"> between</w:t>
      </w:r>
      <w:proofErr w:type="gramEnd"/>
      <w:r w:rsidR="00555D3A">
        <w:rPr>
          <w:bCs/>
          <w:color w:val="244061"/>
          <w:sz w:val="20"/>
          <w:szCs w:val="20"/>
          <w:u w:color="244061"/>
        </w:rPr>
        <w:t xml:space="preserve"> July and August </w:t>
      </w:r>
      <w:r w:rsidRPr="001D3A7B">
        <w:rPr>
          <w:bCs/>
          <w:color w:val="244061"/>
          <w:sz w:val="20"/>
          <w:szCs w:val="20"/>
          <w:u w:color="244061"/>
        </w:rPr>
        <w:t xml:space="preserve">2023 </w:t>
      </w:r>
    </w:p>
    <w:p w14:paraId="59CD2EE0" w14:textId="7F2AB23F" w:rsidR="00743231" w:rsidRPr="001D3A7B" w:rsidRDefault="00743231" w:rsidP="009511F7">
      <w:pPr>
        <w:pStyle w:val="Body"/>
        <w:spacing w:after="0"/>
        <w:rPr>
          <w:sz w:val="20"/>
          <w:szCs w:val="20"/>
        </w:rPr>
      </w:pPr>
    </w:p>
    <w:p w14:paraId="24051612" w14:textId="21C7FCF5" w:rsidR="004E506B" w:rsidRPr="001D3A7B" w:rsidRDefault="001D3A7B" w:rsidP="009511F7">
      <w:pPr>
        <w:pStyle w:val="Body"/>
        <w:spacing w:after="0"/>
        <w:rPr>
          <w:b/>
          <w:color w:val="1F4E79" w:themeColor="accent1" w:themeShade="80"/>
          <w:sz w:val="20"/>
          <w:szCs w:val="20"/>
        </w:rPr>
      </w:pPr>
      <w:r w:rsidRPr="001D3A7B">
        <w:rPr>
          <w:b/>
          <w:color w:val="1F4E79" w:themeColor="accent1" w:themeShade="80"/>
          <w:sz w:val="20"/>
          <w:szCs w:val="20"/>
        </w:rPr>
        <w:t>Background:</w:t>
      </w:r>
    </w:p>
    <w:p w14:paraId="374DA8E8" w14:textId="32575AD6" w:rsid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National Population Policy (NPP) 2015-2024 Volume I – Policy Statement is a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key national government policy formulated to coordinate population interventions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in Papua New Guinea. It was formulated and launched in 2015. This policy was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launched at a time when the detailed analysis of the 2011 National Population and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Housing Census was not yet undertaken to produce the fertility, mortality and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migration data which is the basis for formulating a robust population policy.</w:t>
      </w:r>
    </w:p>
    <w:p w14:paraId="5C448407" w14:textId="77777777" w:rsidR="00F57FCB" w:rsidRP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165ECDB8" w14:textId="2A13C338" w:rsid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NPP Volume I contained some references to the data from the 2000 population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census and surveys such as the Demographic and Health Survey (DHS) and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Household Income and Expenditure Survey (HIES).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NPP Volume II contained detailed demographic data analysis using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demographic data from the 2011 census and had the provincial data to support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planne</w:t>
      </w:r>
      <w:r w:rsidR="00555D3A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rs and policy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makers at the provincial level to formulate strategies and address population concerns based on their own </w:t>
      </w:r>
      <w:r w:rsidR="00555D3A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province-specific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demographic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challenges through their 5-year Integrated Provincial Development Plans (IPDPs).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NPP Volume II – Implementation Plan was completed in mid-2016 using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data from the detailed analysis. However, the NPP Volume II with all the detailed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demographic data from the last census has not been implemented by any province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through their 5-year IPDPs as the policy has not been endorsed to allow for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Department of National Planning and Monitoring (DNPM) to push for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integration within their plans.</w:t>
      </w:r>
    </w:p>
    <w:p w14:paraId="48D7A609" w14:textId="77777777" w:rsidR="00F57FCB" w:rsidRP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159C7DC1" w14:textId="72BE829B" w:rsidR="00F57FCB" w:rsidRP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NPP 2015-2024 completely aligns to the UN Global SDGs and is in agreement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with sound sustainable development principles. Hence, its implementation via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sectors and provincial development plans would have resounding effects in terms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of influencing population growth, size, distribution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,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and other characteristics. It</w:t>
      </w:r>
    </w:p>
    <w:p w14:paraId="3288DDC2" w14:textId="18040CB4" w:rsidR="00F57FCB" w:rsidRP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should be noted that during the NPP 2000-2010, the strategy was to implement the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policy through separate plans called Population Action Plans (PAPs) but because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implementers found formulating a separate plan was a challenge, and funding was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always diverted to provincial development plans, the PAPs did not progress.</w:t>
      </w:r>
    </w:p>
    <w:p w14:paraId="3934CB43" w14:textId="77777777" w:rsid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</w:p>
    <w:p w14:paraId="7DE0743A" w14:textId="45D625BB" w:rsidR="00F57FCB" w:rsidRPr="00F57FCB" w:rsidRDefault="00F57FCB" w:rsidP="00F57FCB">
      <w:pPr>
        <w:pStyle w:val="Body"/>
        <w:spacing w:after="0" w:line="240" w:lineRule="auto"/>
        <w:jc w:val="both"/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A thorough review of the NPP 2015-2024 is required through consultative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workshops and 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the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collection of the most 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up-to-date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demographic data, including from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2022 Socio-Demographic and Economic Survey. Workshops have to be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complemented with direct consultations with the concerned agencies through</w:t>
      </w:r>
    </w:p>
    <w:p w14:paraId="71205DF5" w14:textId="619DC17C" w:rsidR="004E506B" w:rsidRPr="001D3A7B" w:rsidRDefault="00F57FCB" w:rsidP="00F57FCB">
      <w:pPr>
        <w:pStyle w:val="Body"/>
        <w:spacing w:after="0" w:line="240" w:lineRule="auto"/>
        <w:jc w:val="both"/>
        <w:rPr>
          <w:b/>
          <w:color w:val="1F4E79" w:themeColor="accent1" w:themeShade="80"/>
          <w:sz w:val="20"/>
          <w:szCs w:val="20"/>
        </w:rPr>
      </w:pP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meetings, interviews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,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and/or 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the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development of questionnaires to solicit information.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The output of these activities will be the 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input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to the final review that will be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undertaken by the International Consultant. Hence, to prepare the groundwork for</w:t>
      </w:r>
      <w:r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F57FCB">
        <w:rPr>
          <w:rFonts w:eastAsia="Times New Roman"/>
          <w:color w:val="auto"/>
          <w:sz w:val="20"/>
          <w:szCs w:val="20"/>
          <w:bdr w:val="none" w:sz="0" w:space="0" w:color="auto"/>
          <w:lang w:eastAsia="en-US"/>
        </w:rPr>
        <w:t>the International Consultant, the services of a National Consultant is required.</w:t>
      </w:r>
    </w:p>
    <w:p w14:paraId="1A8E17CF" w14:textId="77777777" w:rsidR="004E506B" w:rsidRPr="001D3A7B" w:rsidRDefault="004E506B" w:rsidP="001D3A7B">
      <w:pPr>
        <w:pStyle w:val="Body"/>
        <w:spacing w:after="0"/>
        <w:jc w:val="both"/>
        <w:rPr>
          <w:b/>
          <w:bCs/>
          <w:color w:val="1F4E79" w:themeColor="accent1" w:themeShade="80"/>
          <w:sz w:val="20"/>
          <w:szCs w:val="20"/>
          <w:u w:color="244061"/>
        </w:rPr>
      </w:pPr>
    </w:p>
    <w:p w14:paraId="121B80CA" w14:textId="3C234763" w:rsidR="006924BD" w:rsidRPr="001D3A7B" w:rsidRDefault="004E506B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Scope of work </w:t>
      </w:r>
    </w:p>
    <w:p w14:paraId="3A131DB8" w14:textId="5D6D4A9F" w:rsidR="00F57FCB" w:rsidRPr="00F57FCB" w:rsidRDefault="00F57FCB" w:rsidP="00F57FCB">
      <w:pPr>
        <w:pStyle w:val="TableParagraph"/>
        <w:tabs>
          <w:tab w:val="left" w:pos="896"/>
        </w:tabs>
        <w:spacing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/>
          <w:sz w:val="20"/>
          <w:szCs w:val="20"/>
        </w:rPr>
        <w:t>In close collaboration with the Department of National Planning and Monitoring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F57FCB">
        <w:rPr>
          <w:rFonts w:ascii="Calibri" w:hAnsi="Calibri" w:cs="Calibri"/>
          <w:sz w:val="20"/>
          <w:szCs w:val="20"/>
        </w:rPr>
        <w:t>(DNPM) and with the guidance of the UNFPA Deputy Representative and Chief</w:t>
      </w:r>
      <w:r>
        <w:rPr>
          <w:rFonts w:ascii="Calibri" w:hAnsi="Calibri" w:cs="Calibri"/>
          <w:sz w:val="20"/>
          <w:szCs w:val="20"/>
        </w:rPr>
        <w:t xml:space="preserve"> </w:t>
      </w:r>
      <w:r w:rsidRPr="00F57FCB">
        <w:rPr>
          <w:rFonts w:ascii="Calibri" w:hAnsi="Calibri" w:cs="Calibri"/>
          <w:sz w:val="20"/>
          <w:szCs w:val="20"/>
        </w:rPr>
        <w:t>Technical Adviser (CTA), the Consultant on the NPP Mid-Term Review will:</w:t>
      </w:r>
    </w:p>
    <w:p w14:paraId="17C98A87" w14:textId="5CE9E157" w:rsidR="00F57FCB" w:rsidRPr="00F57FCB" w:rsidRDefault="00F57FCB" w:rsidP="00A17EE3">
      <w:pPr>
        <w:pStyle w:val="TableParagraph"/>
        <w:numPr>
          <w:ilvl w:val="0"/>
          <w:numId w:val="5"/>
        </w:numPr>
        <w:tabs>
          <w:tab w:val="left" w:pos="896"/>
        </w:tabs>
        <w:spacing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Conduct stakeholder consultations with the DNPM via organized workshops</w:t>
      </w:r>
      <w:r w:rsidRPr="00F57FCB">
        <w:rPr>
          <w:rFonts w:ascii="Calibri" w:hAnsi="Calibri" w:cs="Calibri"/>
          <w:sz w:val="20"/>
          <w:szCs w:val="20"/>
        </w:rPr>
        <w:t xml:space="preserve"> in collecting information, and data on the review of the NPP Volume I and NPP Volume II which may relate to the coordination, implementation and monitoring/evaluation of the policy;</w:t>
      </w:r>
    </w:p>
    <w:p w14:paraId="13685B5D" w14:textId="77777777" w:rsidR="00F57FCB" w:rsidRDefault="00F57FCB" w:rsidP="00472BC7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Conduct the direct consultations through meetings, interviews and</w:t>
      </w:r>
      <w:r w:rsidRPr="00F57FCB">
        <w:rPr>
          <w:rFonts w:ascii="Calibri" w:hAnsi="Calibri" w:cs="Calibri"/>
          <w:sz w:val="20"/>
          <w:szCs w:val="20"/>
        </w:rPr>
        <w:t xml:space="preserve"> questionnaires to solicit review information from stakeholders;</w:t>
      </w:r>
    </w:p>
    <w:p w14:paraId="7C00EC2F" w14:textId="7F60C8E2" w:rsidR="00F57FCB" w:rsidRPr="00F57FCB" w:rsidRDefault="00F57FCB" w:rsidP="00E63C72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/>
          <w:sz w:val="20"/>
          <w:szCs w:val="20"/>
        </w:rPr>
        <w:t>Collaborate with the DNPM in providing analysis of data and information to produce the Mid-term Review Report;</w:t>
      </w:r>
    </w:p>
    <w:p w14:paraId="4A71D3B7" w14:textId="20797904" w:rsidR="00F57FCB" w:rsidRPr="00F57FCB" w:rsidRDefault="00F57FCB" w:rsidP="00F57FCB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Provide regular updates to UNFPA and DNPM;</w:t>
      </w:r>
    </w:p>
    <w:p w14:paraId="535D0389" w14:textId="05B7D8FE" w:rsidR="00F57FCB" w:rsidRPr="00F57FCB" w:rsidRDefault="00F57FCB" w:rsidP="002653D0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Propose the best methods and sources necessary to collect data, information</w:t>
      </w:r>
      <w:r w:rsidRPr="00F57FCB">
        <w:rPr>
          <w:rFonts w:ascii="Calibri" w:hAnsi="Calibri" w:cs="Calibri"/>
          <w:sz w:val="20"/>
          <w:szCs w:val="20"/>
        </w:rPr>
        <w:t xml:space="preserve"> and other complementary information in the finalization of the NPP Volumes I and II;</w:t>
      </w:r>
    </w:p>
    <w:p w14:paraId="493BCF93" w14:textId="145BE537" w:rsidR="00F57FCB" w:rsidRPr="00F57FCB" w:rsidRDefault="00F57FCB" w:rsidP="00F415D4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lastRenderedPageBreak/>
        <w:t>Provide presentations to the UNFPA, DNPM, stakeholders and other</w:t>
      </w:r>
      <w:r w:rsidRPr="00F57FCB">
        <w:rPr>
          <w:rFonts w:ascii="Calibri" w:hAnsi="Calibri" w:cs="Calibri"/>
          <w:sz w:val="20"/>
          <w:szCs w:val="20"/>
        </w:rPr>
        <w:t xml:space="preserve"> audiences as and when required;</w:t>
      </w:r>
    </w:p>
    <w:p w14:paraId="3B83509F" w14:textId="59650DC5" w:rsidR="00F57FCB" w:rsidRPr="00F57FCB" w:rsidRDefault="00F57FCB" w:rsidP="00F93CE9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Conduct capacity building for DNPM and relevant stakeholders staff both</w:t>
      </w:r>
      <w:r w:rsidRPr="00F57FCB">
        <w:rPr>
          <w:rFonts w:ascii="Calibri" w:hAnsi="Calibri" w:cs="Calibri"/>
          <w:sz w:val="20"/>
          <w:szCs w:val="20"/>
        </w:rPr>
        <w:t xml:space="preserve"> on-the-job and classroom trainings sessions; and</w:t>
      </w:r>
    </w:p>
    <w:p w14:paraId="1B32DAC6" w14:textId="5DA42F82" w:rsidR="00743231" w:rsidRDefault="00F57FCB" w:rsidP="00640BAB">
      <w:pPr>
        <w:pStyle w:val="TableParagraph"/>
        <w:numPr>
          <w:ilvl w:val="0"/>
          <w:numId w:val="5"/>
        </w:numPr>
        <w:tabs>
          <w:tab w:val="left" w:pos="896"/>
        </w:tabs>
        <w:spacing w:before="1" w:line="259" w:lineRule="auto"/>
        <w:ind w:right="158"/>
        <w:jc w:val="both"/>
        <w:rPr>
          <w:rFonts w:ascii="Calibri" w:hAnsi="Calibri" w:cs="Calibri"/>
          <w:sz w:val="20"/>
          <w:szCs w:val="20"/>
        </w:rPr>
      </w:pPr>
      <w:r w:rsidRPr="00F57FCB">
        <w:rPr>
          <w:rFonts w:ascii="Calibri" w:hAnsi="Calibri" w:cs="Calibri" w:hint="eastAsia"/>
          <w:sz w:val="20"/>
          <w:szCs w:val="20"/>
        </w:rPr>
        <w:t>Perform other job-related duties as assigned by the UNFPA Representative</w:t>
      </w:r>
      <w:r w:rsidRPr="00F57FCB">
        <w:rPr>
          <w:rFonts w:ascii="Calibri" w:hAnsi="Calibri" w:cs="Calibri"/>
          <w:sz w:val="20"/>
          <w:szCs w:val="20"/>
        </w:rPr>
        <w:t xml:space="preserve"> and/or Deputy Representative required to ensure the success of the above-mentioned activities.</w:t>
      </w:r>
      <w:r w:rsidR="004E506B" w:rsidRPr="00F57FCB">
        <w:rPr>
          <w:rFonts w:ascii="Calibri" w:hAnsi="Calibri" w:cs="Calibri"/>
          <w:sz w:val="20"/>
          <w:szCs w:val="20"/>
        </w:rPr>
        <w:t xml:space="preserve"> </w:t>
      </w:r>
    </w:p>
    <w:p w14:paraId="7EBF87C2" w14:textId="77777777" w:rsidR="00F57FCB" w:rsidRPr="00F57FCB" w:rsidRDefault="00F57FCB" w:rsidP="00F57FCB">
      <w:pPr>
        <w:pStyle w:val="TableParagraph"/>
        <w:tabs>
          <w:tab w:val="left" w:pos="896"/>
        </w:tabs>
        <w:spacing w:before="1" w:line="259" w:lineRule="auto"/>
        <w:ind w:left="895" w:right="158"/>
        <w:jc w:val="both"/>
        <w:rPr>
          <w:rFonts w:ascii="Calibri" w:hAnsi="Calibri" w:cs="Calibri"/>
          <w:sz w:val="20"/>
          <w:szCs w:val="20"/>
        </w:rPr>
      </w:pPr>
    </w:p>
    <w:p w14:paraId="162F84D1" w14:textId="351EFBE3" w:rsidR="00F73CAA" w:rsidRPr="001D3A7B" w:rsidRDefault="006A4AF8" w:rsidP="001D3A7B">
      <w:pPr>
        <w:pStyle w:val="Body"/>
        <w:spacing w:after="0"/>
        <w:jc w:val="both"/>
        <w:rPr>
          <w:b/>
          <w:bCs/>
          <w:color w:val="244061"/>
          <w:sz w:val="20"/>
          <w:szCs w:val="20"/>
          <w:u w:color="244061"/>
        </w:rPr>
      </w:pPr>
      <w:r w:rsidRPr="001D3A7B">
        <w:rPr>
          <w:b/>
          <w:bCs/>
          <w:color w:val="244061"/>
          <w:sz w:val="20"/>
          <w:szCs w:val="20"/>
          <w:u w:color="244061"/>
        </w:rPr>
        <w:t xml:space="preserve">Qualifications and Experience </w:t>
      </w:r>
    </w:p>
    <w:p w14:paraId="3A9CB982" w14:textId="77777777" w:rsidR="004E506B" w:rsidRPr="001D3A7B" w:rsidRDefault="004E506B" w:rsidP="001D3A7B">
      <w:pPr>
        <w:pStyle w:val="TableParagraph"/>
        <w:spacing w:line="250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Qualification</w:t>
      </w:r>
    </w:p>
    <w:p w14:paraId="298575C3" w14:textId="58F37221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4" w:line="232" w:lineRule="auto"/>
        <w:ind w:right="848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At least </w:t>
      </w:r>
      <w:r w:rsidR="001D3A7B" w:rsidRPr="001D3A7B">
        <w:rPr>
          <w:rFonts w:ascii="Calibri" w:hAnsi="Calibri" w:cs="Calibri"/>
          <w:sz w:val="20"/>
          <w:szCs w:val="20"/>
        </w:rPr>
        <w:t xml:space="preserve">a </w:t>
      </w:r>
      <w:r w:rsidRPr="001D3A7B">
        <w:rPr>
          <w:rFonts w:ascii="Calibri" w:hAnsi="Calibri" w:cs="Calibri"/>
          <w:sz w:val="20"/>
          <w:szCs w:val="20"/>
        </w:rPr>
        <w:t>Masters' degree in Statistics, Demography, Population Studies,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Economics, Sustainable Development, or equivalent qualification in a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relevant,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directly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related discipline.</w:t>
      </w:r>
    </w:p>
    <w:p w14:paraId="000382E6" w14:textId="77777777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3"/>
        <w:ind w:right="72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Must be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meticulous -</w:t>
      </w:r>
      <w:r w:rsidRPr="001D3A7B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have a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keen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eye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details,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looking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for excellence/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perfection/quality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all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technical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matters.</w:t>
      </w:r>
    </w:p>
    <w:p w14:paraId="13E04EFD" w14:textId="77777777" w:rsidR="004E506B" w:rsidRPr="001D3A7B" w:rsidRDefault="004E506B" w:rsidP="001D3A7B">
      <w:pPr>
        <w:pStyle w:val="TableParagraph"/>
        <w:jc w:val="both"/>
        <w:rPr>
          <w:rFonts w:ascii="Calibri" w:hAnsi="Calibri" w:cs="Calibri"/>
          <w:b/>
          <w:sz w:val="20"/>
          <w:szCs w:val="20"/>
        </w:rPr>
      </w:pPr>
    </w:p>
    <w:p w14:paraId="1F42EE68" w14:textId="77777777" w:rsidR="004E506B" w:rsidRPr="001D3A7B" w:rsidRDefault="004E506B" w:rsidP="001D3A7B">
      <w:pPr>
        <w:pStyle w:val="TableParagraph"/>
        <w:spacing w:line="251" w:lineRule="exact"/>
        <w:ind w:left="175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  <w:u w:val="single"/>
        </w:rPr>
        <w:t>Professional</w:t>
      </w:r>
      <w:r w:rsidRPr="001D3A7B">
        <w:rPr>
          <w:rFonts w:ascii="Calibri" w:hAnsi="Calibri" w:cs="Calibri"/>
          <w:spacing w:val="-2"/>
          <w:sz w:val="20"/>
          <w:szCs w:val="20"/>
          <w:u w:val="single"/>
        </w:rPr>
        <w:t xml:space="preserve"> </w:t>
      </w:r>
      <w:r w:rsidRPr="001D3A7B">
        <w:rPr>
          <w:rFonts w:ascii="Calibri" w:hAnsi="Calibri" w:cs="Calibri"/>
          <w:sz w:val="20"/>
          <w:szCs w:val="20"/>
          <w:u w:val="single"/>
        </w:rPr>
        <w:t>experience</w:t>
      </w:r>
    </w:p>
    <w:p w14:paraId="65C0C73C" w14:textId="7A3589B4" w:rsidR="004E506B" w:rsidRPr="001D3A7B" w:rsidRDefault="00F57FC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10" w:line="225" w:lineRule="auto"/>
        <w:ind w:right="30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At least</w:t>
      </w:r>
      <w:r w:rsidR="004E506B" w:rsidRPr="001D3A7B">
        <w:rPr>
          <w:rFonts w:ascii="Calibri" w:hAnsi="Calibri" w:cs="Calibri"/>
          <w:sz w:val="20"/>
          <w:szCs w:val="20"/>
        </w:rPr>
        <w:t xml:space="preserve"> 5 years of consultancy and technical advisory experience, programming</w:t>
      </w:r>
      <w:r w:rsidR="001D3A7B" w:rsidRPr="001D3A7B">
        <w:rPr>
          <w:rFonts w:ascii="Calibri" w:hAnsi="Calibri" w:cs="Calibri"/>
          <w:sz w:val="20"/>
          <w:szCs w:val="20"/>
        </w:rPr>
        <w:t>,</w:t>
      </w:r>
      <w:r w:rsidR="004E506B" w:rsidRPr="001D3A7B">
        <w:rPr>
          <w:rFonts w:ascii="Calibri" w:hAnsi="Calibri" w:cs="Calibri"/>
          <w:spacing w:val="-53"/>
          <w:sz w:val="20"/>
          <w:szCs w:val="20"/>
        </w:rPr>
        <w:t xml:space="preserve"> </w:t>
      </w:r>
      <w:r w:rsidR="004E506B" w:rsidRPr="001D3A7B">
        <w:rPr>
          <w:rFonts w:ascii="Calibri" w:hAnsi="Calibri" w:cs="Calibri"/>
          <w:sz w:val="20"/>
          <w:szCs w:val="20"/>
        </w:rPr>
        <w:t>and</w:t>
      </w:r>
      <w:r w:rsidR="004E506B"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="004E506B" w:rsidRPr="001D3A7B">
        <w:rPr>
          <w:rFonts w:ascii="Calibri" w:hAnsi="Calibri" w:cs="Calibri"/>
          <w:sz w:val="20"/>
          <w:szCs w:val="20"/>
        </w:rPr>
        <w:t>policy</w:t>
      </w:r>
      <w:r w:rsidR="004E506B"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4E506B" w:rsidRPr="001D3A7B">
        <w:rPr>
          <w:rFonts w:ascii="Calibri" w:hAnsi="Calibri" w:cs="Calibri"/>
          <w:sz w:val="20"/>
          <w:szCs w:val="20"/>
        </w:rPr>
        <w:t>design;</w:t>
      </w:r>
    </w:p>
    <w:p w14:paraId="2FA83AE0" w14:textId="69D6BE86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7" w:line="232" w:lineRule="auto"/>
        <w:ind w:right="88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 minimum of 5 years of relevant experience in project management,</w:t>
      </w:r>
      <w:r w:rsidRPr="001D3A7B">
        <w:rPr>
          <w:rFonts w:ascii="Calibri" w:hAnsi="Calibri" w:cs="Calibri"/>
          <w:spacing w:val="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coordination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1D3A7B" w:rsidRPr="001D3A7B">
        <w:rPr>
          <w:rFonts w:ascii="Calibri" w:hAnsi="Calibri" w:cs="Calibri"/>
          <w:sz w:val="20"/>
          <w:szCs w:val="20"/>
        </w:rPr>
        <w:t>multi-stakeholders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or/and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public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sector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planning,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monitoring</w:t>
      </w:r>
      <w:r w:rsidR="001D3A7B" w:rsidRPr="001D3A7B">
        <w:rPr>
          <w:rFonts w:ascii="Calibri" w:hAnsi="Calibri" w:cs="Calibri"/>
          <w:sz w:val="20"/>
          <w:szCs w:val="20"/>
        </w:rPr>
        <w:t>,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data analysis;</w:t>
      </w:r>
    </w:p>
    <w:p w14:paraId="63E77F16" w14:textId="77777777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line="270" w:lineRule="exact"/>
        <w:ind w:hanging="361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Knowledge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Agenda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2030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Sustainable Development Goals;</w:t>
      </w:r>
    </w:p>
    <w:p w14:paraId="4303556B" w14:textId="27EF6F2D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37" w:line="223" w:lineRule="auto"/>
        <w:ind w:right="1216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Knowledge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="001D3A7B" w:rsidRPr="001D3A7B">
        <w:rPr>
          <w:rFonts w:ascii="Calibri" w:hAnsi="Calibri" w:cs="Calibri"/>
          <w:sz w:val="20"/>
          <w:szCs w:val="20"/>
        </w:rPr>
        <w:t>of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working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with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UN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systems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regard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to</w:t>
      </w:r>
      <w:r w:rsidRPr="001D3A7B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population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or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International Conference</w:t>
      </w:r>
      <w:r w:rsidRPr="001D3A7B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on Population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 Development;</w:t>
      </w:r>
    </w:p>
    <w:p w14:paraId="71F0CF52" w14:textId="55D2342A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70" w:line="223" w:lineRule="auto"/>
        <w:ind w:right="314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Previous experience working or/and knowledge in Papua New Guinea or/and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the</w:t>
      </w:r>
      <w:r w:rsidRPr="001D3A7B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 xml:space="preserve">Pacific </w:t>
      </w:r>
      <w:r w:rsidR="001D3A7B" w:rsidRPr="001D3A7B">
        <w:rPr>
          <w:rFonts w:ascii="Calibri" w:hAnsi="Calibri" w:cs="Calibri"/>
          <w:sz w:val="20"/>
          <w:szCs w:val="20"/>
        </w:rPr>
        <w:t>region</w:t>
      </w:r>
      <w:r w:rsidRPr="001D3A7B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 asset;</w:t>
      </w:r>
      <w:r w:rsidRPr="001D3A7B">
        <w:rPr>
          <w:rFonts w:ascii="Calibri" w:hAnsi="Calibri" w:cs="Calibri"/>
          <w:spacing w:val="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and</w:t>
      </w:r>
    </w:p>
    <w:p w14:paraId="3E4E7ABE" w14:textId="2F9E1285" w:rsidR="004E506B" w:rsidRPr="001D3A7B" w:rsidRDefault="004E506B" w:rsidP="00C976AA">
      <w:pPr>
        <w:pStyle w:val="TableParagraph"/>
        <w:numPr>
          <w:ilvl w:val="0"/>
          <w:numId w:val="6"/>
        </w:numPr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Experience in capacity strengthening and development, and skills transfer to</w:t>
      </w:r>
      <w:r w:rsidRPr="001D3A7B">
        <w:rPr>
          <w:rFonts w:ascii="Calibri" w:hAnsi="Calibri" w:cs="Calibri"/>
          <w:spacing w:val="-52"/>
          <w:sz w:val="20"/>
          <w:szCs w:val="20"/>
        </w:rPr>
        <w:t xml:space="preserve"> </w:t>
      </w:r>
      <w:r w:rsidRPr="001D3A7B">
        <w:rPr>
          <w:rFonts w:ascii="Calibri" w:hAnsi="Calibri" w:cs="Calibri"/>
          <w:sz w:val="20"/>
          <w:szCs w:val="20"/>
        </w:rPr>
        <w:t>local counterpart.</w:t>
      </w:r>
    </w:p>
    <w:p w14:paraId="5E394F75" w14:textId="18DDF7ED" w:rsidR="001D3A7B" w:rsidRPr="001D3A7B" w:rsidRDefault="001D3A7B" w:rsidP="001D3A7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sz w:val="20"/>
          <w:szCs w:val="20"/>
        </w:rPr>
      </w:pPr>
    </w:p>
    <w:p w14:paraId="5AADCBD1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>Competencies</w:t>
      </w:r>
    </w:p>
    <w:p w14:paraId="5870F57A" w14:textId="77777777" w:rsidR="001D3A7B" w:rsidRPr="001D3A7B" w:rsidRDefault="001D3A7B" w:rsidP="00555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Values: </w:t>
      </w:r>
    </w:p>
    <w:p w14:paraId="00864063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Exemplifying integrity</w:t>
      </w:r>
    </w:p>
    <w:p w14:paraId="3960BB2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Demonstrating commitment to UNFPA and the UN system</w:t>
      </w:r>
    </w:p>
    <w:p w14:paraId="4EF7BE6D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cultural diversity</w:t>
      </w:r>
    </w:p>
    <w:p w14:paraId="11512DF2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Embracing change</w:t>
      </w:r>
    </w:p>
    <w:p w14:paraId="725C684A" w14:textId="77777777" w:rsidR="001D3A7B" w:rsidRPr="001D3A7B" w:rsidRDefault="001D3A7B" w:rsidP="00555D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Core Competencies: </w:t>
      </w:r>
    </w:p>
    <w:p w14:paraId="5E19D4B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Achieving results</w:t>
      </w:r>
    </w:p>
    <w:p w14:paraId="20037297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Being accountable</w:t>
      </w:r>
    </w:p>
    <w:p w14:paraId="3F4FBE1B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Developing and applying professional expertise/business acumen</w:t>
      </w:r>
    </w:p>
    <w:p w14:paraId="713CF4F0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Thinking analytically and strategically</w:t>
      </w:r>
    </w:p>
    <w:p w14:paraId="4A8D80F1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 xml:space="preserve">Working in teams/managing ourselves and our relationships, </w:t>
      </w:r>
    </w:p>
    <w:p w14:paraId="31986ACE" w14:textId="77777777" w:rsidR="001D3A7B" w:rsidRPr="001D3A7B" w:rsidRDefault="001D3A7B" w:rsidP="00C976AA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1" w:lineRule="atLeast"/>
        <w:ind w:leftChars="152" w:left="367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Communicating for impact</w:t>
      </w:r>
    </w:p>
    <w:p w14:paraId="3F461EBA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sz w:val="20"/>
          <w:szCs w:val="20"/>
        </w:rPr>
      </w:pPr>
    </w:p>
    <w:p w14:paraId="0015A0C3" w14:textId="77777777" w:rsidR="001D3A7B" w:rsidRPr="001D3A7B" w:rsidRDefault="001D3A7B" w:rsidP="001D3A7B">
      <w:pPr>
        <w:ind w:hanging="2"/>
        <w:jc w:val="both"/>
        <w:rPr>
          <w:rFonts w:ascii="Calibri" w:hAnsi="Calibri" w:cs="Calibri"/>
          <w:b/>
          <w:bCs/>
          <w:sz w:val="20"/>
          <w:szCs w:val="20"/>
        </w:rPr>
      </w:pPr>
      <w:r w:rsidRPr="001D3A7B">
        <w:rPr>
          <w:rFonts w:ascii="Calibri" w:hAnsi="Calibri" w:cs="Calibri"/>
          <w:b/>
          <w:bCs/>
          <w:sz w:val="20"/>
          <w:szCs w:val="20"/>
          <w:u w:val="single"/>
        </w:rPr>
        <w:t xml:space="preserve">Languages: </w:t>
      </w:r>
    </w:p>
    <w:p w14:paraId="58C50E7D" w14:textId="77777777" w:rsidR="001D3A7B" w:rsidRPr="001D3A7B" w:rsidRDefault="001D3A7B" w:rsidP="00C976AA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Calibri" w:hAnsi="Calibri" w:cs="Calibri"/>
          <w:sz w:val="20"/>
          <w:szCs w:val="20"/>
        </w:rPr>
      </w:pPr>
      <w:r w:rsidRPr="001D3A7B">
        <w:rPr>
          <w:rFonts w:ascii="Calibri" w:hAnsi="Calibri" w:cs="Calibri"/>
          <w:sz w:val="20"/>
          <w:szCs w:val="20"/>
        </w:rPr>
        <w:t>Fluency in oral and written English is required.</w:t>
      </w:r>
    </w:p>
    <w:p w14:paraId="167CFAAB" w14:textId="77777777" w:rsidR="001D3A7B" w:rsidRDefault="001D3A7B" w:rsidP="001D3A7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b/>
        </w:rPr>
      </w:pPr>
    </w:p>
    <w:p w14:paraId="5076C888" w14:textId="77777777" w:rsidR="00CF68D6" w:rsidRDefault="00CF68D6" w:rsidP="00CF68D6">
      <w:pPr>
        <w:shd w:val="clear" w:color="auto" w:fill="FFFFFF"/>
        <w:spacing w:before="240" w:line="253" w:lineRule="atLeast"/>
        <w:ind w:left="1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005DE6">
        <w:rPr>
          <w:rFonts w:ascii="Calibri" w:eastAsia="Times New Roman" w:hAnsi="Calibri" w:cs="Calibri"/>
          <w:b/>
          <w:bCs/>
          <w:sz w:val="20"/>
          <w:szCs w:val="20"/>
        </w:rPr>
        <w:t>Submission of applications:</w:t>
      </w:r>
    </w:p>
    <w:p w14:paraId="77F7F899" w14:textId="77777777" w:rsidR="00CF68D6" w:rsidRPr="00373FA2" w:rsidRDefault="00CF68D6" w:rsidP="00CF68D6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7F08F4B2" w14:textId="77777777" w:rsidR="00CF68D6" w:rsidRDefault="00CF68D6" w:rsidP="00CF68D6">
      <w:pPr>
        <w:rPr>
          <w:rFonts w:ascii="Calibri" w:hAnsi="Calibri" w:cs="Calibri"/>
          <w:sz w:val="22"/>
          <w:szCs w:val="22"/>
        </w:rPr>
      </w:pPr>
      <w:r w:rsidRPr="00005DE6">
        <w:rPr>
          <w:rFonts w:ascii="Calibri" w:hAnsi="Calibri" w:cs="Calibri"/>
          <w:sz w:val="22"/>
          <w:szCs w:val="22"/>
        </w:rPr>
        <w:t>Interested applicants should submit their applications of interest to:</w:t>
      </w:r>
    </w:p>
    <w:p w14:paraId="15A05F41" w14:textId="77777777" w:rsidR="00CF68D6" w:rsidRPr="00005DE6" w:rsidRDefault="00CF68D6" w:rsidP="00CF68D6">
      <w:pPr>
        <w:rPr>
          <w:rFonts w:ascii="Calibri" w:hAnsi="Calibri" w:cs="Calibri"/>
          <w:sz w:val="22"/>
          <w:szCs w:val="22"/>
        </w:rPr>
      </w:pPr>
    </w:p>
    <w:p w14:paraId="44730D91" w14:textId="25AE0F75" w:rsidR="00CF68D6" w:rsidRDefault="00CF68D6" w:rsidP="00CF68D6">
      <w:pPr>
        <w:rPr>
          <w:rFonts w:ascii="Calibri" w:hAnsi="Calibri" w:cs="Calibri"/>
          <w:sz w:val="22"/>
          <w:szCs w:val="22"/>
        </w:rPr>
      </w:pPr>
      <w:r w:rsidRPr="00005DE6">
        <w:rPr>
          <w:rFonts w:ascii="Calibri" w:hAnsi="Calibri" w:cs="Calibri"/>
          <w:sz w:val="22"/>
          <w:szCs w:val="22"/>
        </w:rPr>
        <w:t>The UNFPA Representative, UNFPA, Level 14, Kina Haus, Douglas Street, PO Box 1041, Port Moresby via email to </w:t>
      </w:r>
      <w:hyperlink r:id="rId7" w:tgtFrame="_blank" w:history="1">
        <w:r w:rsidRPr="00005DE6">
          <w:rPr>
            <w:rStyle w:val="Hyperlink"/>
            <w:rFonts w:ascii="Calibri" w:hAnsi="Calibri" w:cs="Calibri"/>
            <w:sz w:val="22"/>
            <w:szCs w:val="22"/>
          </w:rPr>
          <w:t>png-recruitment@unfpa.org</w:t>
        </w:r>
      </w:hyperlink>
      <w:r w:rsidRPr="00005DE6">
        <w:rPr>
          <w:rFonts w:ascii="Calibri" w:hAnsi="Calibri" w:cs="Calibri"/>
          <w:sz w:val="22"/>
          <w:szCs w:val="22"/>
        </w:rPr>
        <w:t xml:space="preserve"> no later than </w:t>
      </w:r>
      <w:r w:rsidR="001F3C01">
        <w:rPr>
          <w:rFonts w:ascii="Calibri" w:hAnsi="Calibri" w:cs="Calibri"/>
          <w:sz w:val="22"/>
          <w:szCs w:val="22"/>
        </w:rPr>
        <w:t>21</w:t>
      </w:r>
      <w:r w:rsidRPr="00005DE6">
        <w:rPr>
          <w:rFonts w:ascii="Calibri" w:hAnsi="Calibri" w:cs="Calibri"/>
          <w:sz w:val="22"/>
          <w:szCs w:val="22"/>
        </w:rPr>
        <w:t xml:space="preserve"> June 2023.</w:t>
      </w:r>
    </w:p>
    <w:p w14:paraId="0CDC3C0F" w14:textId="77777777" w:rsidR="00CF68D6" w:rsidRPr="00005DE6" w:rsidRDefault="00CF68D6" w:rsidP="00CF68D6">
      <w:pPr>
        <w:rPr>
          <w:rFonts w:ascii="Calibri" w:hAnsi="Calibri" w:cs="Calibri"/>
          <w:sz w:val="22"/>
          <w:szCs w:val="22"/>
        </w:rPr>
      </w:pPr>
    </w:p>
    <w:p w14:paraId="77F8D0C1" w14:textId="77777777" w:rsidR="00CF68D6" w:rsidRPr="00005DE6" w:rsidRDefault="00CF68D6" w:rsidP="00CF68D6">
      <w:pPr>
        <w:rPr>
          <w:rFonts w:ascii="Calibri" w:hAnsi="Calibri" w:cs="Calibri"/>
          <w:sz w:val="22"/>
          <w:szCs w:val="22"/>
        </w:rPr>
      </w:pPr>
      <w:r w:rsidRPr="00005DE6">
        <w:rPr>
          <w:rFonts w:ascii="Calibri" w:hAnsi="Calibri" w:cs="Calibri"/>
          <w:sz w:val="22"/>
          <w:szCs w:val="22"/>
        </w:rPr>
        <w:t>Submissions should include:</w:t>
      </w:r>
    </w:p>
    <w:p w14:paraId="1F6D7CFE" w14:textId="77777777" w:rsidR="00CF68D6" w:rsidRPr="00005DE6" w:rsidRDefault="00CF68D6" w:rsidP="00CF68D6">
      <w:pPr>
        <w:rPr>
          <w:rFonts w:ascii="Calibri" w:hAnsi="Calibri" w:cs="Calibri"/>
          <w:sz w:val="22"/>
          <w:szCs w:val="22"/>
        </w:rPr>
      </w:pPr>
      <w:r w:rsidRPr="00005DE6">
        <w:rPr>
          <w:rFonts w:ascii="Calibri" w:hAnsi="Calibri" w:cs="Calibri"/>
          <w:sz w:val="22"/>
          <w:szCs w:val="22"/>
        </w:rPr>
        <w:t>Letter of Interest, CV, and UN Personal History Form (P11)</w:t>
      </w:r>
    </w:p>
    <w:p w14:paraId="5C8E0C32" w14:textId="77777777" w:rsidR="00CF68D6" w:rsidRPr="001D3A7B" w:rsidRDefault="00CF68D6" w:rsidP="001D3A7B">
      <w:pPr>
        <w:pStyle w:val="TableParagraph"/>
        <w:tabs>
          <w:tab w:val="left" w:pos="576"/>
        </w:tabs>
        <w:spacing w:before="17" w:line="223" w:lineRule="auto"/>
        <w:ind w:right="392"/>
        <w:jc w:val="both"/>
        <w:rPr>
          <w:rFonts w:ascii="Calibri" w:hAnsi="Calibri" w:cs="Calibri"/>
          <w:b/>
        </w:rPr>
      </w:pPr>
    </w:p>
    <w:sectPr w:rsidR="00CF68D6" w:rsidRPr="001D3A7B">
      <w:headerReference w:type="default" r:id="rId8"/>
      <w:footerReference w:type="default" r:id="rId9"/>
      <w:pgSz w:w="11900" w:h="16840"/>
      <w:pgMar w:top="1440" w:right="1440" w:bottom="11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03F7" w14:textId="77777777" w:rsidR="0093021C" w:rsidRDefault="0093021C">
      <w:r>
        <w:separator/>
      </w:r>
    </w:p>
  </w:endnote>
  <w:endnote w:type="continuationSeparator" w:id="0">
    <w:p w14:paraId="5C0AE193" w14:textId="77777777" w:rsidR="0093021C" w:rsidRDefault="0093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32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2143" w14:textId="03C9E9D2" w:rsidR="00333677" w:rsidRDefault="003336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FA516" w14:textId="77777777" w:rsidR="00743231" w:rsidRDefault="0074323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6EF2" w14:textId="77777777" w:rsidR="0093021C" w:rsidRDefault="0093021C">
      <w:r>
        <w:separator/>
      </w:r>
    </w:p>
  </w:footnote>
  <w:footnote w:type="continuationSeparator" w:id="0">
    <w:p w14:paraId="3EEBB9AA" w14:textId="77777777" w:rsidR="0093021C" w:rsidRDefault="0093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0945" w14:textId="77777777" w:rsidR="00743231" w:rsidRDefault="006A4AF8">
    <w:pPr>
      <w:pStyle w:val="Header"/>
      <w:tabs>
        <w:tab w:val="clear" w:pos="9026"/>
        <w:tab w:val="right" w:pos="9000"/>
      </w:tabs>
    </w:pPr>
    <w:r>
      <w:rPr>
        <w:noProof/>
        <w:lang w:val="en-IN" w:eastAsia="en-IN"/>
      </w:rPr>
      <w:drawing>
        <wp:anchor distT="152400" distB="152400" distL="152400" distR="152400" simplePos="0" relativeHeight="251658240" behindDoc="1" locked="0" layoutInCell="1" allowOverlap="1" wp14:anchorId="186B316C" wp14:editId="6353C058">
          <wp:simplePos x="0" y="0"/>
          <wp:positionH relativeFrom="page">
            <wp:posOffset>895350</wp:posOffset>
          </wp:positionH>
          <wp:positionV relativeFrom="page">
            <wp:posOffset>295275</wp:posOffset>
          </wp:positionV>
          <wp:extent cx="1146810" cy="594360"/>
          <wp:effectExtent l="0" t="0" r="0" b="0"/>
          <wp:wrapNone/>
          <wp:docPr id="1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94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B0D25"/>
    <w:multiLevelType w:val="hybridMultilevel"/>
    <w:tmpl w:val="D6481C34"/>
    <w:styleLink w:val="Bullets"/>
    <w:lvl w:ilvl="0" w:tplc="3CD40D2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5A61B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F66CC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F8BF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484D4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D4F28A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C120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B2E87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E048FA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902764"/>
    <w:multiLevelType w:val="hybridMultilevel"/>
    <w:tmpl w:val="B778021C"/>
    <w:styleLink w:val="ImportedStyle10"/>
    <w:lvl w:ilvl="0" w:tplc="6F6E4D96">
      <w:start w:val="1"/>
      <w:numFmt w:val="bullet"/>
      <w:lvlText w:val="·"/>
      <w:lvlJc w:val="left"/>
      <w:pPr>
        <w:ind w:left="7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E80E08">
      <w:start w:val="1"/>
      <w:numFmt w:val="bullet"/>
      <w:lvlText w:val="o"/>
      <w:lvlJc w:val="left"/>
      <w:pPr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42DEE0">
      <w:start w:val="1"/>
      <w:numFmt w:val="bullet"/>
      <w:lvlText w:val="▪"/>
      <w:lvlJc w:val="left"/>
      <w:pPr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BD20">
      <w:start w:val="1"/>
      <w:numFmt w:val="bullet"/>
      <w:lvlText w:val="·"/>
      <w:lvlJc w:val="left"/>
      <w:pPr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BE711A">
      <w:start w:val="1"/>
      <w:numFmt w:val="bullet"/>
      <w:lvlText w:val="o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2A0854">
      <w:start w:val="1"/>
      <w:numFmt w:val="bullet"/>
      <w:lvlText w:val="▪"/>
      <w:lvlJc w:val="left"/>
      <w:pPr>
        <w:ind w:left="43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80E1D8">
      <w:start w:val="1"/>
      <w:numFmt w:val="bullet"/>
      <w:lvlText w:val="·"/>
      <w:lvlJc w:val="left"/>
      <w:pPr>
        <w:ind w:left="507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6CF57C">
      <w:start w:val="1"/>
      <w:numFmt w:val="bullet"/>
      <w:lvlText w:val="o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F65E54">
      <w:start w:val="1"/>
      <w:numFmt w:val="bullet"/>
      <w:lvlText w:val="▪"/>
      <w:lvlJc w:val="left"/>
      <w:pPr>
        <w:ind w:left="65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C76373"/>
    <w:multiLevelType w:val="multilevel"/>
    <w:tmpl w:val="188889CA"/>
    <w:lvl w:ilvl="0">
      <w:start w:val="1"/>
      <w:numFmt w:val="bullet"/>
      <w:lvlText w:val="o"/>
      <w:lvlJc w:val="left"/>
      <w:pPr>
        <w:ind w:left="4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5F5B39"/>
    <w:multiLevelType w:val="hybridMultilevel"/>
    <w:tmpl w:val="AFDC0E9C"/>
    <w:styleLink w:val="ImportedStyle2"/>
    <w:lvl w:ilvl="0" w:tplc="E6BC7C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48DC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AA01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88F4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32AC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7678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62E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0E20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70DB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6E030CA"/>
    <w:multiLevelType w:val="hybridMultilevel"/>
    <w:tmpl w:val="CB4C98C6"/>
    <w:styleLink w:val="ImportedStyle3"/>
    <w:lvl w:ilvl="0" w:tplc="86AAB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AECEC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ECCB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8854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BE817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AA22B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76FE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F2C2C6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B90DA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6A77186C"/>
    <w:multiLevelType w:val="hybridMultilevel"/>
    <w:tmpl w:val="13749EAC"/>
    <w:lvl w:ilvl="0" w:tplc="C338D216">
      <w:numFmt w:val="bullet"/>
      <w:lvlText w:val="●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0A4F226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5462ABB4">
      <w:numFmt w:val="bullet"/>
      <w:lvlText w:val="•"/>
      <w:lvlJc w:val="left"/>
      <w:pPr>
        <w:ind w:left="2259" w:hanging="360"/>
      </w:pPr>
      <w:rPr>
        <w:rFonts w:hint="default"/>
        <w:lang w:val="en-US" w:eastAsia="en-US" w:bidi="ar-SA"/>
      </w:rPr>
    </w:lvl>
    <w:lvl w:ilvl="3" w:tplc="93FCC786">
      <w:numFmt w:val="bullet"/>
      <w:lvlText w:val="•"/>
      <w:lvlJc w:val="left"/>
      <w:pPr>
        <w:ind w:left="2938" w:hanging="360"/>
      </w:pPr>
      <w:rPr>
        <w:rFonts w:hint="default"/>
        <w:lang w:val="en-US" w:eastAsia="en-US" w:bidi="ar-SA"/>
      </w:rPr>
    </w:lvl>
    <w:lvl w:ilvl="4" w:tplc="17D4A536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7B5C101C">
      <w:numFmt w:val="bullet"/>
      <w:lvlText w:val="•"/>
      <w:lvlJc w:val="left"/>
      <w:pPr>
        <w:ind w:left="4297" w:hanging="360"/>
      </w:pPr>
      <w:rPr>
        <w:rFonts w:hint="default"/>
        <w:lang w:val="en-US" w:eastAsia="en-US" w:bidi="ar-SA"/>
      </w:rPr>
    </w:lvl>
    <w:lvl w:ilvl="6" w:tplc="7AC6A3FC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7" w:tplc="6DCE0BDA">
      <w:numFmt w:val="bullet"/>
      <w:lvlText w:val="•"/>
      <w:lvlJc w:val="left"/>
      <w:pPr>
        <w:ind w:left="5656" w:hanging="360"/>
      </w:pPr>
      <w:rPr>
        <w:rFonts w:hint="default"/>
        <w:lang w:val="en-US" w:eastAsia="en-US" w:bidi="ar-SA"/>
      </w:rPr>
    </w:lvl>
    <w:lvl w:ilvl="8" w:tplc="09404C08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D102C51"/>
    <w:multiLevelType w:val="hybridMultilevel"/>
    <w:tmpl w:val="B9F8DC66"/>
    <w:lvl w:ilvl="0" w:tplc="E378338C">
      <w:numFmt w:val="bullet"/>
      <w:lvlText w:val="o"/>
      <w:lvlJc w:val="left"/>
      <w:pPr>
        <w:ind w:left="57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FDE6F0CC">
      <w:numFmt w:val="bullet"/>
      <w:lvlText w:val="o"/>
      <w:lvlJc w:val="left"/>
      <w:pPr>
        <w:ind w:left="1295" w:hanging="360"/>
      </w:pPr>
      <w:rPr>
        <w:rFonts w:ascii="Courier New" w:eastAsia="Courier New" w:hAnsi="Courier New" w:cs="Courier New" w:hint="default"/>
        <w:w w:val="100"/>
        <w:position w:val="2"/>
        <w:sz w:val="22"/>
        <w:szCs w:val="22"/>
        <w:lang w:val="en-US" w:eastAsia="en-US" w:bidi="ar-SA"/>
      </w:rPr>
    </w:lvl>
    <w:lvl w:ilvl="2" w:tplc="5630BF9A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3" w:tplc="225A5DA0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ar-SA"/>
      </w:rPr>
    </w:lvl>
    <w:lvl w:ilvl="4" w:tplc="27400628"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5" w:tplc="A2FC1370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FB384D4E">
      <w:numFmt w:val="bullet"/>
      <w:lvlText w:val="•"/>
      <w:lvlJc w:val="left"/>
      <w:pPr>
        <w:ind w:left="4497" w:hanging="360"/>
      </w:pPr>
      <w:rPr>
        <w:rFonts w:hint="default"/>
        <w:lang w:val="en-US" w:eastAsia="en-US" w:bidi="ar-SA"/>
      </w:rPr>
    </w:lvl>
    <w:lvl w:ilvl="7" w:tplc="18524052">
      <w:numFmt w:val="bullet"/>
      <w:lvlText w:val="•"/>
      <w:lvlJc w:val="left"/>
      <w:pPr>
        <w:ind w:left="5296" w:hanging="360"/>
      </w:pPr>
      <w:rPr>
        <w:rFonts w:hint="default"/>
        <w:lang w:val="en-US" w:eastAsia="en-US" w:bidi="ar-SA"/>
      </w:rPr>
    </w:lvl>
    <w:lvl w:ilvl="8" w:tplc="E282207E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</w:abstractNum>
  <w:num w:numId="1" w16cid:durableId="1901941527">
    <w:abstractNumId w:val="0"/>
  </w:num>
  <w:num w:numId="2" w16cid:durableId="191069575">
    <w:abstractNumId w:val="3"/>
  </w:num>
  <w:num w:numId="3" w16cid:durableId="2033724547">
    <w:abstractNumId w:val="4"/>
  </w:num>
  <w:num w:numId="4" w16cid:durableId="2082212741">
    <w:abstractNumId w:val="1"/>
  </w:num>
  <w:num w:numId="5" w16cid:durableId="8875754">
    <w:abstractNumId w:val="5"/>
  </w:num>
  <w:num w:numId="6" w16cid:durableId="1983389812">
    <w:abstractNumId w:val="6"/>
  </w:num>
  <w:num w:numId="7" w16cid:durableId="3612618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231"/>
    <w:rsid w:val="00007634"/>
    <w:rsid w:val="00015614"/>
    <w:rsid w:val="000276C9"/>
    <w:rsid w:val="0004109C"/>
    <w:rsid w:val="00055E5D"/>
    <w:rsid w:val="00062EB9"/>
    <w:rsid w:val="00063AD0"/>
    <w:rsid w:val="000765C1"/>
    <w:rsid w:val="00082017"/>
    <w:rsid w:val="00086BC2"/>
    <w:rsid w:val="000B2370"/>
    <w:rsid w:val="000C43B8"/>
    <w:rsid w:val="000C5AEC"/>
    <w:rsid w:val="001135F5"/>
    <w:rsid w:val="00126007"/>
    <w:rsid w:val="00162E13"/>
    <w:rsid w:val="00186F52"/>
    <w:rsid w:val="0019384F"/>
    <w:rsid w:val="001A6935"/>
    <w:rsid w:val="001B4289"/>
    <w:rsid w:val="001B4567"/>
    <w:rsid w:val="001D3A7B"/>
    <w:rsid w:val="001E2986"/>
    <w:rsid w:val="001F3C01"/>
    <w:rsid w:val="001F4CC9"/>
    <w:rsid w:val="0020584D"/>
    <w:rsid w:val="002106C6"/>
    <w:rsid w:val="0023743D"/>
    <w:rsid w:val="00243039"/>
    <w:rsid w:val="00250840"/>
    <w:rsid w:val="00281E3F"/>
    <w:rsid w:val="002B45AB"/>
    <w:rsid w:val="00301D9B"/>
    <w:rsid w:val="00306E90"/>
    <w:rsid w:val="00333677"/>
    <w:rsid w:val="00335E30"/>
    <w:rsid w:val="00342A38"/>
    <w:rsid w:val="0035784F"/>
    <w:rsid w:val="00364310"/>
    <w:rsid w:val="00364FB9"/>
    <w:rsid w:val="003809A7"/>
    <w:rsid w:val="003A17A3"/>
    <w:rsid w:val="003D237F"/>
    <w:rsid w:val="003D702F"/>
    <w:rsid w:val="00414684"/>
    <w:rsid w:val="004239B4"/>
    <w:rsid w:val="00457AAD"/>
    <w:rsid w:val="0048262D"/>
    <w:rsid w:val="0048543A"/>
    <w:rsid w:val="004A072C"/>
    <w:rsid w:val="004A21FB"/>
    <w:rsid w:val="004A31FF"/>
    <w:rsid w:val="004C6D25"/>
    <w:rsid w:val="004E37F1"/>
    <w:rsid w:val="004E506B"/>
    <w:rsid w:val="004F46AD"/>
    <w:rsid w:val="00511BC3"/>
    <w:rsid w:val="0052782C"/>
    <w:rsid w:val="00534B36"/>
    <w:rsid w:val="005401DA"/>
    <w:rsid w:val="00543B04"/>
    <w:rsid w:val="00544770"/>
    <w:rsid w:val="00551AC4"/>
    <w:rsid w:val="0055410A"/>
    <w:rsid w:val="00555D3A"/>
    <w:rsid w:val="00583173"/>
    <w:rsid w:val="00593F6C"/>
    <w:rsid w:val="00596D95"/>
    <w:rsid w:val="005A3C71"/>
    <w:rsid w:val="005B7758"/>
    <w:rsid w:val="005C6E63"/>
    <w:rsid w:val="005D6313"/>
    <w:rsid w:val="005E0232"/>
    <w:rsid w:val="005E2229"/>
    <w:rsid w:val="005E2367"/>
    <w:rsid w:val="005E6955"/>
    <w:rsid w:val="00613BA6"/>
    <w:rsid w:val="00641CD8"/>
    <w:rsid w:val="00670126"/>
    <w:rsid w:val="006741CD"/>
    <w:rsid w:val="006924BD"/>
    <w:rsid w:val="006A4AF8"/>
    <w:rsid w:val="006C69CA"/>
    <w:rsid w:val="00703828"/>
    <w:rsid w:val="0070635E"/>
    <w:rsid w:val="007113B3"/>
    <w:rsid w:val="00731668"/>
    <w:rsid w:val="00732422"/>
    <w:rsid w:val="00743231"/>
    <w:rsid w:val="00761572"/>
    <w:rsid w:val="00777CCE"/>
    <w:rsid w:val="0079740E"/>
    <w:rsid w:val="007A686D"/>
    <w:rsid w:val="007B25A1"/>
    <w:rsid w:val="007D0071"/>
    <w:rsid w:val="007E668F"/>
    <w:rsid w:val="007F0920"/>
    <w:rsid w:val="007F1361"/>
    <w:rsid w:val="007F5078"/>
    <w:rsid w:val="0081759A"/>
    <w:rsid w:val="00834C90"/>
    <w:rsid w:val="00840FED"/>
    <w:rsid w:val="008439D7"/>
    <w:rsid w:val="00851B7D"/>
    <w:rsid w:val="008A6232"/>
    <w:rsid w:val="008C0E7E"/>
    <w:rsid w:val="008C6927"/>
    <w:rsid w:val="008D54E8"/>
    <w:rsid w:val="008F0F99"/>
    <w:rsid w:val="00911C19"/>
    <w:rsid w:val="00924F88"/>
    <w:rsid w:val="0093021C"/>
    <w:rsid w:val="009462E8"/>
    <w:rsid w:val="009511F7"/>
    <w:rsid w:val="00951875"/>
    <w:rsid w:val="00954D71"/>
    <w:rsid w:val="00960278"/>
    <w:rsid w:val="00961F1E"/>
    <w:rsid w:val="00961FD4"/>
    <w:rsid w:val="009657FB"/>
    <w:rsid w:val="00995EDA"/>
    <w:rsid w:val="009C0FE0"/>
    <w:rsid w:val="009C3A70"/>
    <w:rsid w:val="009C50BD"/>
    <w:rsid w:val="009C6F81"/>
    <w:rsid w:val="00A26027"/>
    <w:rsid w:val="00A37FFC"/>
    <w:rsid w:val="00A511D3"/>
    <w:rsid w:val="00A90A70"/>
    <w:rsid w:val="00AA4915"/>
    <w:rsid w:val="00AD1039"/>
    <w:rsid w:val="00AF2507"/>
    <w:rsid w:val="00AF6775"/>
    <w:rsid w:val="00B17E5F"/>
    <w:rsid w:val="00B2296D"/>
    <w:rsid w:val="00B35AAC"/>
    <w:rsid w:val="00B41106"/>
    <w:rsid w:val="00B4225A"/>
    <w:rsid w:val="00B45F56"/>
    <w:rsid w:val="00B6768A"/>
    <w:rsid w:val="00B85829"/>
    <w:rsid w:val="00B87131"/>
    <w:rsid w:val="00B971F2"/>
    <w:rsid w:val="00B975B5"/>
    <w:rsid w:val="00BA705F"/>
    <w:rsid w:val="00BB1470"/>
    <w:rsid w:val="00BD323E"/>
    <w:rsid w:val="00BF6AFF"/>
    <w:rsid w:val="00C15325"/>
    <w:rsid w:val="00C2601D"/>
    <w:rsid w:val="00C31D5B"/>
    <w:rsid w:val="00C327AF"/>
    <w:rsid w:val="00C709FC"/>
    <w:rsid w:val="00C73E2B"/>
    <w:rsid w:val="00C76423"/>
    <w:rsid w:val="00C9561F"/>
    <w:rsid w:val="00C95AC5"/>
    <w:rsid w:val="00C965A5"/>
    <w:rsid w:val="00C976AA"/>
    <w:rsid w:val="00CF4541"/>
    <w:rsid w:val="00CF68D6"/>
    <w:rsid w:val="00D00CFC"/>
    <w:rsid w:val="00D04542"/>
    <w:rsid w:val="00D31B24"/>
    <w:rsid w:val="00D33EA4"/>
    <w:rsid w:val="00D41B4E"/>
    <w:rsid w:val="00D47252"/>
    <w:rsid w:val="00D56E43"/>
    <w:rsid w:val="00D7392B"/>
    <w:rsid w:val="00D91CB4"/>
    <w:rsid w:val="00DA4109"/>
    <w:rsid w:val="00DA5680"/>
    <w:rsid w:val="00DC523D"/>
    <w:rsid w:val="00DE5085"/>
    <w:rsid w:val="00DE61D4"/>
    <w:rsid w:val="00E1245B"/>
    <w:rsid w:val="00E1293D"/>
    <w:rsid w:val="00E16856"/>
    <w:rsid w:val="00E168B4"/>
    <w:rsid w:val="00E379FD"/>
    <w:rsid w:val="00E5138D"/>
    <w:rsid w:val="00E52145"/>
    <w:rsid w:val="00E52A9F"/>
    <w:rsid w:val="00E929E3"/>
    <w:rsid w:val="00EA2B51"/>
    <w:rsid w:val="00ED439C"/>
    <w:rsid w:val="00F13793"/>
    <w:rsid w:val="00F3781B"/>
    <w:rsid w:val="00F57FCB"/>
    <w:rsid w:val="00F73CAA"/>
    <w:rsid w:val="00FB3BF0"/>
    <w:rsid w:val="00FB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0180"/>
  <w15:docId w15:val="{301AD122-35D3-480B-AFEF-C61793157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25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aliases w:val="List Paragraph (numbered (a)),List Paragraph1"/>
    <w:link w:val="ListParagraphChar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0">
    <w:name w:val="Imported Style 10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nhideWhenUsed/>
    <w:rsid w:val="0085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1B7D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7D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0C5A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Times New Roman" w:hAnsi="Tahoma" w:cs="Tahoma"/>
      <w:sz w:val="16"/>
      <w:szCs w:val="16"/>
      <w:bdr w:val="none" w:sz="0" w:space="0" w:color="auto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C5AEC"/>
    <w:rPr>
      <w:rFonts w:ascii="Tahoma" w:eastAsia="Times New Roman" w:hAnsi="Tahoma" w:cs="Tahoma"/>
      <w:sz w:val="16"/>
      <w:szCs w:val="16"/>
      <w:bdr w:val="none" w:sz="0" w:space="0" w:color="auto"/>
      <w:lang w:val="en-US" w:eastAsia="en-US"/>
    </w:rPr>
  </w:style>
  <w:style w:type="character" w:styleId="Strong">
    <w:name w:val="Strong"/>
    <w:uiPriority w:val="22"/>
    <w:qFormat/>
    <w:rsid w:val="005E0232"/>
    <w:rPr>
      <w:b/>
      <w:bCs/>
    </w:rPr>
  </w:style>
  <w:style w:type="paragraph" w:styleId="BodyText2">
    <w:name w:val="Body Text 2"/>
    <w:basedOn w:val="Normal"/>
    <w:link w:val="BodyText2Char"/>
    <w:rsid w:val="00FB3B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Cs w:val="20"/>
      <w:bdr w:val="none" w:sz="0" w:space="0" w:color="auto"/>
    </w:rPr>
  </w:style>
  <w:style w:type="character" w:customStyle="1" w:styleId="BodyText2Char">
    <w:name w:val="Body Text 2 Char"/>
    <w:basedOn w:val="DefaultParagraphFont"/>
    <w:link w:val="BodyText2"/>
    <w:rsid w:val="00FB3BF0"/>
    <w:rPr>
      <w:rFonts w:eastAsia="Times New Roman"/>
      <w:sz w:val="24"/>
      <w:bdr w:val="none" w:sz="0" w:space="0" w:color="auto"/>
      <w:lang w:val="en-US" w:eastAsia="en-US"/>
    </w:rPr>
  </w:style>
  <w:style w:type="character" w:styleId="Emphasis">
    <w:name w:val="Emphasis"/>
    <w:basedOn w:val="DefaultParagraphFont"/>
    <w:uiPriority w:val="20"/>
    <w:qFormat/>
    <w:rsid w:val="00BF6AFF"/>
    <w:rPr>
      <w:b/>
      <w:bCs/>
      <w:i w:val="0"/>
      <w:iCs w:val="0"/>
    </w:rPr>
  </w:style>
  <w:style w:type="character" w:customStyle="1" w:styleId="st1">
    <w:name w:val="st1"/>
    <w:basedOn w:val="DefaultParagraphFont"/>
    <w:rsid w:val="00BF6AFF"/>
  </w:style>
  <w:style w:type="paragraph" w:styleId="NoSpacing">
    <w:name w:val="No Spacing"/>
    <w:uiPriority w:val="1"/>
    <w:qFormat/>
    <w:rsid w:val="00670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SimSun"/>
      <w:sz w:val="24"/>
      <w:szCs w:val="24"/>
      <w:bdr w:val="none" w:sz="0" w:space="0" w:color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B25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ListParagraphChar">
    <w:name w:val="List Paragraph Char"/>
    <w:aliases w:val="List Paragraph (numbered (a)) Char,List Paragraph1 Char"/>
    <w:link w:val="ListParagraph"/>
    <w:uiPriority w:val="34"/>
    <w:locked/>
    <w:rsid w:val="00E5138D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677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E50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g-recruitment@unf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Fernandes</dc:creator>
  <cp:keywords/>
  <dc:description/>
  <cp:lastModifiedBy>Rachel</cp:lastModifiedBy>
  <cp:revision>5</cp:revision>
  <cp:lastPrinted>2018-05-01T17:47:00Z</cp:lastPrinted>
  <dcterms:created xsi:type="dcterms:W3CDTF">2023-06-07T20:17:00Z</dcterms:created>
  <dcterms:modified xsi:type="dcterms:W3CDTF">2023-06-07T22:50:00Z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2df41c74f1849e99ebc5b2deeb95d12b78fcaae0c254b5b2cd2058edbb9c8ede</vt:lpwstr>
  </property>
</Properties>
</file>