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9561E" w14:textId="77777777" w:rsidR="00743231" w:rsidRPr="009511F7" w:rsidRDefault="00743231">
      <w:pPr>
        <w:pStyle w:val="Body"/>
        <w:spacing w:after="0" w:line="276" w:lineRule="auto"/>
        <w:rPr>
          <w:color w:val="244061"/>
          <w:sz w:val="28"/>
          <w:szCs w:val="28"/>
          <w:u w:color="244061"/>
        </w:rPr>
      </w:pPr>
      <w:bookmarkStart w:id="0" w:name="_GoBack"/>
      <w:bookmarkEnd w:id="0"/>
    </w:p>
    <w:p w14:paraId="68B83633" w14:textId="234F0A05" w:rsidR="004E506B" w:rsidRPr="001D3A7B" w:rsidRDefault="006A4AF8" w:rsidP="00C00B99">
      <w:pPr>
        <w:pStyle w:val="Body"/>
        <w:spacing w:after="0" w:line="276" w:lineRule="auto"/>
        <w:rPr>
          <w:b/>
          <w:bCs/>
          <w:color w:val="244061"/>
          <w:sz w:val="20"/>
          <w:szCs w:val="20"/>
          <w:u w:color="244061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>Job title</w:t>
      </w:r>
      <w:r w:rsidR="009511F7" w:rsidRPr="001D3A7B">
        <w:rPr>
          <w:b/>
          <w:bCs/>
          <w:color w:val="244061"/>
          <w:sz w:val="20"/>
          <w:szCs w:val="20"/>
          <w:u w:color="244061"/>
        </w:rPr>
        <w:t>:</w:t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1D3A7B" w:rsidRPr="001D3A7B">
        <w:rPr>
          <w:b/>
          <w:bCs/>
          <w:color w:val="244061"/>
          <w:sz w:val="20"/>
          <w:szCs w:val="20"/>
          <w:u w:color="244061"/>
        </w:rPr>
        <w:tab/>
      </w:r>
      <w:r w:rsidR="00C00B99">
        <w:rPr>
          <w:b/>
          <w:bCs/>
          <w:color w:val="244061"/>
          <w:sz w:val="20"/>
          <w:szCs w:val="20"/>
          <w:u w:color="244061"/>
        </w:rPr>
        <w:t xml:space="preserve">National Consultant – GBV </w:t>
      </w:r>
      <w:r w:rsidR="004E506B" w:rsidRPr="001D3A7B">
        <w:rPr>
          <w:b/>
          <w:bCs/>
          <w:color w:val="244061"/>
          <w:sz w:val="20"/>
          <w:szCs w:val="20"/>
          <w:u w:color="244061"/>
        </w:rPr>
        <w:t xml:space="preserve"> </w:t>
      </w:r>
    </w:p>
    <w:p w14:paraId="4BFCF0FC" w14:textId="70D077C2" w:rsidR="001D3A7B" w:rsidRPr="001D3A7B" w:rsidRDefault="00732422" w:rsidP="007526BF">
      <w:pPr>
        <w:pStyle w:val="Body"/>
        <w:spacing w:after="0" w:line="276" w:lineRule="auto"/>
        <w:rPr>
          <w:bCs/>
          <w:color w:val="auto"/>
          <w:sz w:val="20"/>
          <w:szCs w:val="20"/>
          <w:u w:color="244061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>Level:</w:t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9511F7" w:rsidRPr="001D3A7B">
        <w:rPr>
          <w:b/>
          <w:bCs/>
          <w:color w:val="244061"/>
          <w:sz w:val="20"/>
          <w:szCs w:val="20"/>
          <w:u w:color="244061"/>
        </w:rPr>
        <w:tab/>
      </w:r>
      <w:r w:rsidR="004E506B" w:rsidRPr="001D3A7B">
        <w:rPr>
          <w:b/>
          <w:bCs/>
          <w:color w:val="244061"/>
          <w:sz w:val="20"/>
          <w:szCs w:val="20"/>
          <w:u w:color="244061"/>
        </w:rPr>
        <w:tab/>
      </w:r>
      <w:r w:rsidR="004E506B" w:rsidRPr="001D3A7B">
        <w:rPr>
          <w:bCs/>
          <w:color w:val="auto"/>
          <w:sz w:val="20"/>
          <w:szCs w:val="20"/>
          <w:u w:color="244061"/>
        </w:rPr>
        <w:t>Consultancy equivalent to gross of staff position level</w:t>
      </w:r>
      <w:r w:rsidR="00C00B99">
        <w:rPr>
          <w:bCs/>
          <w:color w:val="auto"/>
          <w:sz w:val="20"/>
          <w:szCs w:val="20"/>
          <w:u w:color="244061"/>
        </w:rPr>
        <w:t xml:space="preserve"> NO</w:t>
      </w:r>
      <w:r w:rsidR="00E8464E">
        <w:rPr>
          <w:bCs/>
          <w:color w:val="auto"/>
          <w:sz w:val="20"/>
          <w:szCs w:val="20"/>
          <w:u w:color="244061"/>
        </w:rPr>
        <w:t>D</w:t>
      </w:r>
    </w:p>
    <w:p w14:paraId="5A95D976" w14:textId="77777777" w:rsidR="00DD6FB3" w:rsidRDefault="006A4AF8" w:rsidP="004E506B">
      <w:pPr>
        <w:pStyle w:val="Body"/>
        <w:spacing w:after="0" w:line="276" w:lineRule="auto"/>
        <w:rPr>
          <w:sz w:val="20"/>
          <w:szCs w:val="20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>Location:</w:t>
      </w:r>
      <w:r w:rsidRPr="001D3A7B">
        <w:rPr>
          <w:b/>
          <w:bCs/>
          <w:color w:val="244061"/>
          <w:sz w:val="20"/>
          <w:szCs w:val="20"/>
          <w:u w:color="244061"/>
        </w:rPr>
        <w:tab/>
      </w:r>
      <w:r w:rsidRPr="001D3A7B">
        <w:rPr>
          <w:b/>
          <w:bCs/>
          <w:color w:val="244061"/>
          <w:sz w:val="20"/>
          <w:szCs w:val="20"/>
          <w:u w:color="244061"/>
        </w:rPr>
        <w:tab/>
      </w:r>
      <w:r w:rsidRPr="001D3A7B">
        <w:rPr>
          <w:b/>
          <w:bCs/>
          <w:color w:val="244061"/>
          <w:sz w:val="20"/>
          <w:szCs w:val="20"/>
          <w:u w:color="244061"/>
        </w:rPr>
        <w:tab/>
      </w:r>
      <w:r w:rsidRPr="001D3A7B">
        <w:rPr>
          <w:b/>
          <w:bCs/>
          <w:color w:val="244061"/>
          <w:sz w:val="20"/>
          <w:szCs w:val="20"/>
          <w:u w:color="244061"/>
        </w:rPr>
        <w:tab/>
      </w:r>
      <w:r w:rsidR="00E8464E">
        <w:rPr>
          <w:sz w:val="20"/>
          <w:szCs w:val="20"/>
        </w:rPr>
        <w:t xml:space="preserve">Port Moresby </w:t>
      </w:r>
    </w:p>
    <w:p w14:paraId="76B63827" w14:textId="0A5D6DA3" w:rsidR="00743231" w:rsidRPr="00DD6FB3" w:rsidRDefault="00DD6FB3" w:rsidP="004E506B">
      <w:pPr>
        <w:pStyle w:val="Body"/>
        <w:spacing w:after="0" w:line="276" w:lineRule="auto"/>
        <w:rPr>
          <w:bCs/>
          <w:color w:val="244061"/>
          <w:sz w:val="20"/>
          <w:szCs w:val="20"/>
          <w:u w:color="244061"/>
        </w:rPr>
      </w:pPr>
      <w:r w:rsidRPr="00DD6FB3">
        <w:rPr>
          <w:b/>
          <w:color w:val="1F4E79" w:themeColor="accent1" w:themeShade="80"/>
          <w:sz w:val="20"/>
          <w:szCs w:val="20"/>
        </w:rPr>
        <w:t xml:space="preserve">Closing date: </w:t>
      </w:r>
      <w:r w:rsidR="004A31FF" w:rsidRPr="00DD6FB3">
        <w:rPr>
          <w:b/>
          <w:bCs/>
          <w:color w:val="244061"/>
          <w:sz w:val="20"/>
          <w:szCs w:val="20"/>
          <w:u w:color="244061"/>
        </w:rPr>
        <w:tab/>
      </w:r>
      <w:r>
        <w:rPr>
          <w:b/>
          <w:bCs/>
          <w:color w:val="244061"/>
          <w:sz w:val="20"/>
          <w:szCs w:val="20"/>
          <w:u w:color="244061"/>
        </w:rPr>
        <w:t xml:space="preserve">                                                </w:t>
      </w:r>
      <w:r>
        <w:rPr>
          <w:bCs/>
          <w:color w:val="244061"/>
          <w:sz w:val="20"/>
          <w:szCs w:val="20"/>
          <w:u w:color="244061"/>
        </w:rPr>
        <w:t>15 June 2023</w:t>
      </w:r>
    </w:p>
    <w:p w14:paraId="61A26ED6" w14:textId="3BF29BD5" w:rsidR="009511F7" w:rsidRPr="001D3A7B" w:rsidRDefault="001D3A7B" w:rsidP="009511F7">
      <w:pPr>
        <w:pStyle w:val="Body"/>
        <w:spacing w:after="0" w:line="276" w:lineRule="auto"/>
        <w:ind w:left="3600" w:hanging="3600"/>
        <w:rPr>
          <w:bCs/>
          <w:color w:val="244061"/>
          <w:sz w:val="20"/>
          <w:szCs w:val="20"/>
          <w:u w:color="244061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>Duration:</w:t>
      </w:r>
      <w:r w:rsidR="004E506B" w:rsidRPr="001D3A7B">
        <w:rPr>
          <w:b/>
          <w:bCs/>
          <w:color w:val="244061"/>
          <w:sz w:val="20"/>
          <w:szCs w:val="20"/>
          <w:u w:color="244061"/>
        </w:rPr>
        <w:tab/>
      </w:r>
      <w:r w:rsidR="00A81781">
        <w:rPr>
          <w:bCs/>
          <w:color w:val="244061"/>
          <w:sz w:val="20"/>
          <w:szCs w:val="20"/>
          <w:u w:color="244061"/>
        </w:rPr>
        <w:t>June/July – November 2023</w:t>
      </w:r>
      <w:r w:rsidRPr="001D3A7B">
        <w:rPr>
          <w:bCs/>
          <w:color w:val="244061"/>
          <w:sz w:val="20"/>
          <w:szCs w:val="20"/>
          <w:u w:color="244061"/>
        </w:rPr>
        <w:t xml:space="preserve"> </w:t>
      </w:r>
    </w:p>
    <w:p w14:paraId="59CD2EE0" w14:textId="7F2AB23F" w:rsidR="00743231" w:rsidRPr="001D3A7B" w:rsidRDefault="00743231" w:rsidP="009511F7">
      <w:pPr>
        <w:pStyle w:val="Body"/>
        <w:spacing w:after="0"/>
        <w:rPr>
          <w:sz w:val="20"/>
          <w:szCs w:val="20"/>
        </w:rPr>
      </w:pPr>
    </w:p>
    <w:p w14:paraId="24051612" w14:textId="21C7FCF5" w:rsidR="004E506B" w:rsidRPr="001D3A7B" w:rsidRDefault="001D3A7B" w:rsidP="009511F7">
      <w:pPr>
        <w:pStyle w:val="Body"/>
        <w:spacing w:after="0"/>
        <w:rPr>
          <w:b/>
          <w:color w:val="1F4E79" w:themeColor="accent1" w:themeShade="80"/>
          <w:sz w:val="20"/>
          <w:szCs w:val="20"/>
        </w:rPr>
      </w:pPr>
      <w:r w:rsidRPr="001D3A7B">
        <w:rPr>
          <w:b/>
          <w:color w:val="1F4E79" w:themeColor="accent1" w:themeShade="80"/>
          <w:sz w:val="20"/>
          <w:szCs w:val="20"/>
        </w:rPr>
        <w:t>Background:</w:t>
      </w:r>
    </w:p>
    <w:p w14:paraId="64DC53B4" w14:textId="2264425A" w:rsidR="00C00B99" w:rsidRDefault="00C00B99" w:rsidP="007526BF">
      <w:pPr>
        <w:pStyle w:val="Body"/>
        <w:spacing w:after="0" w:line="240" w:lineRule="auto"/>
        <w:jc w:val="both"/>
      </w:pPr>
      <w:r>
        <w:t>Papua New Guinea is a country with a high total fertility rate and a resultant growing</w:t>
      </w:r>
      <w:r w:rsidR="007526BF">
        <w:t xml:space="preserve"> </w:t>
      </w:r>
      <w:r>
        <w:t xml:space="preserve">working-age population. About 60 </w:t>
      </w:r>
      <w:r w:rsidR="007526BF">
        <w:t>percent</w:t>
      </w:r>
      <w:r>
        <w:t xml:space="preserve"> of the PNG population is below 25 years</w:t>
      </w:r>
      <w:r w:rsidR="007526BF">
        <w:t xml:space="preserve"> </w:t>
      </w:r>
      <w:r>
        <w:t>old. It has a high maternal mortality ratio of 171 per 100,000 live births, among the</w:t>
      </w:r>
      <w:r w:rsidR="007526BF">
        <w:t xml:space="preserve"> </w:t>
      </w:r>
      <w:r>
        <w:t xml:space="preserve">highest in the world. It has a low contraceptive prevalence rate of 24.1 </w:t>
      </w:r>
      <w:r w:rsidR="007526BF">
        <w:t>percent</w:t>
      </w:r>
      <w:r>
        <w:t>, a</w:t>
      </w:r>
      <w:r w:rsidR="007526BF">
        <w:t xml:space="preserve"> </w:t>
      </w:r>
      <w:r>
        <w:t xml:space="preserve">high unmet need for family planning at 30 </w:t>
      </w:r>
      <w:r w:rsidR="007526BF">
        <w:t>percent</w:t>
      </w:r>
      <w:r>
        <w:t>, low coverage of skilled birth</w:t>
      </w:r>
      <w:r w:rsidR="007526BF">
        <w:t xml:space="preserve"> </w:t>
      </w:r>
      <w:r>
        <w:t>attendance</w:t>
      </w:r>
      <w:r w:rsidR="007526BF">
        <w:t>,</w:t>
      </w:r>
      <w:r>
        <w:t xml:space="preserve"> and a high HIV epidemic prevalence at 0.8 </w:t>
      </w:r>
      <w:r w:rsidR="007526BF">
        <w:t>percent</w:t>
      </w:r>
      <w:r>
        <w:t>.</w:t>
      </w:r>
    </w:p>
    <w:p w14:paraId="5ABAF2EC" w14:textId="77777777" w:rsidR="007526BF" w:rsidRDefault="007526BF" w:rsidP="007526BF">
      <w:pPr>
        <w:pStyle w:val="Body"/>
        <w:spacing w:after="0" w:line="240" w:lineRule="auto"/>
        <w:jc w:val="both"/>
      </w:pPr>
    </w:p>
    <w:p w14:paraId="7B01197A" w14:textId="5265C2E9" w:rsidR="00C00B99" w:rsidRDefault="00C00B99" w:rsidP="007526BF">
      <w:pPr>
        <w:pStyle w:val="Body"/>
        <w:spacing w:after="0" w:line="240" w:lineRule="auto"/>
        <w:jc w:val="both"/>
      </w:pPr>
      <w:r>
        <w:t>PNG has one of the highest rates of gender-based violence in the world. About 63.9</w:t>
      </w:r>
      <w:r w:rsidR="007526BF">
        <w:t xml:space="preserve"> percent</w:t>
      </w:r>
      <w:r>
        <w:t xml:space="preserve"> of women in PNG have experienced physical, sexual</w:t>
      </w:r>
      <w:r w:rsidR="007526BF">
        <w:t>,</w:t>
      </w:r>
      <w:r>
        <w:t xml:space="preserve"> or emotional violence</w:t>
      </w:r>
      <w:r w:rsidR="007526BF">
        <w:t xml:space="preserve"> </w:t>
      </w:r>
      <w:r>
        <w:t xml:space="preserve">by their spouse (PNG Demographic and Health Survey 2016). About 57 </w:t>
      </w:r>
      <w:r w:rsidR="007526BF">
        <w:t>percent</w:t>
      </w:r>
      <w:r>
        <w:t xml:space="preserve"> of</w:t>
      </w:r>
      <w:r w:rsidR="007526BF">
        <w:t xml:space="preserve"> </w:t>
      </w:r>
      <w:r>
        <w:t>these women were injured due to spousal violence. COVID-19 is making a bad</w:t>
      </w:r>
      <w:r w:rsidR="007526BF">
        <w:t xml:space="preserve"> </w:t>
      </w:r>
      <w:r>
        <w:t>situation worse. Increasing community tensions due to COVID-19-related mistrust</w:t>
      </w:r>
      <w:r w:rsidR="007526BF">
        <w:t xml:space="preserve"> </w:t>
      </w:r>
      <w:r>
        <w:t xml:space="preserve">and fear </w:t>
      </w:r>
      <w:r w:rsidR="007526BF">
        <w:t>have</w:t>
      </w:r>
      <w:r>
        <w:t xml:space="preserve"> also been highlighted as possible risk factors for elevated rates of</w:t>
      </w:r>
      <w:r w:rsidR="007526BF">
        <w:t xml:space="preserve"> </w:t>
      </w:r>
      <w:r>
        <w:t>sorcery-related violence.</w:t>
      </w:r>
    </w:p>
    <w:p w14:paraId="24F349F3" w14:textId="77777777" w:rsidR="00A81781" w:rsidRDefault="00A81781" w:rsidP="007526BF">
      <w:pPr>
        <w:pStyle w:val="Body"/>
        <w:spacing w:after="0" w:line="240" w:lineRule="auto"/>
        <w:jc w:val="both"/>
      </w:pPr>
    </w:p>
    <w:p w14:paraId="2382746B" w14:textId="03C504BF" w:rsidR="00C00B99" w:rsidRDefault="00C00B99" w:rsidP="007526BF">
      <w:pPr>
        <w:pStyle w:val="Body"/>
        <w:spacing w:after="0" w:line="240" w:lineRule="auto"/>
        <w:jc w:val="both"/>
      </w:pPr>
      <w:r>
        <w:t>One of the three transformative results of UNFPA is to end gender-based violence</w:t>
      </w:r>
      <w:r w:rsidR="00A81781">
        <w:t xml:space="preserve"> </w:t>
      </w:r>
      <w:r>
        <w:t>and all forms of harmful practices. In this connection, UNFPA is one of the four UN</w:t>
      </w:r>
      <w:r w:rsidR="00A81781">
        <w:t xml:space="preserve"> </w:t>
      </w:r>
      <w:r>
        <w:t>agencies working together in the Joint Programme on Gender-Based Violence</w:t>
      </w:r>
      <w:r w:rsidR="00A81781">
        <w:t xml:space="preserve"> </w:t>
      </w:r>
      <w:r>
        <w:t>Initiative under the European Union Spotlight funding. More specifically, UNFPA is</w:t>
      </w:r>
      <w:r w:rsidR="00A81781">
        <w:t xml:space="preserve"> </w:t>
      </w:r>
      <w:r>
        <w:t xml:space="preserve">the </w:t>
      </w:r>
      <w:proofErr w:type="spellStart"/>
      <w:r>
        <w:t>convenor</w:t>
      </w:r>
      <w:proofErr w:type="spellEnd"/>
      <w:r>
        <w:t xml:space="preserve"> of Pillar, 5, GBV Data.</w:t>
      </w:r>
    </w:p>
    <w:p w14:paraId="3ACA5B7D" w14:textId="77777777" w:rsidR="00A81781" w:rsidRDefault="00A81781" w:rsidP="007526BF">
      <w:pPr>
        <w:pStyle w:val="Body"/>
        <w:spacing w:after="0" w:line="240" w:lineRule="auto"/>
        <w:jc w:val="both"/>
      </w:pPr>
    </w:p>
    <w:p w14:paraId="3827B603" w14:textId="13E0DE67" w:rsidR="00C00B99" w:rsidRDefault="00C00B99" w:rsidP="007526BF">
      <w:pPr>
        <w:pStyle w:val="Body"/>
        <w:spacing w:after="0" w:line="240" w:lineRule="auto"/>
        <w:jc w:val="both"/>
      </w:pPr>
      <w:r>
        <w:t>One of the challenges in GBV prevention in PNG is the lack of a national and</w:t>
      </w:r>
      <w:r w:rsidR="00A81781">
        <w:t xml:space="preserve"> centralized</w:t>
      </w:r>
      <w:r>
        <w:t xml:space="preserve"> administrative database on GBV in the country. This database is</w:t>
      </w:r>
      <w:r w:rsidR="00A81781">
        <w:t xml:space="preserve"> </w:t>
      </w:r>
      <w:r>
        <w:t>important to establish at the national and sub-national levels as this will inform</w:t>
      </w:r>
      <w:r w:rsidR="00A81781">
        <w:t xml:space="preserve"> </w:t>
      </w:r>
      <w:r>
        <w:t>policy, planning, programming</w:t>
      </w:r>
      <w:r w:rsidR="00A81781">
        <w:t>,</w:t>
      </w:r>
      <w:r>
        <w:t xml:space="preserve"> and budgeting to help accelerate efforts to end GBV</w:t>
      </w:r>
      <w:r w:rsidR="00A81781">
        <w:t xml:space="preserve"> </w:t>
      </w:r>
      <w:r>
        <w:t>in the country. This need was specifically highlighted by the Permanent Committee</w:t>
      </w:r>
    </w:p>
    <w:p w14:paraId="1985CD65" w14:textId="389F5A79" w:rsidR="00C00B99" w:rsidRDefault="00C00B99" w:rsidP="007526BF">
      <w:pPr>
        <w:pStyle w:val="Body"/>
        <w:spacing w:after="0" w:line="240" w:lineRule="auto"/>
        <w:jc w:val="both"/>
      </w:pPr>
      <w:r>
        <w:t>on the GBV National Inquiry as relayed to the Department of Community</w:t>
      </w:r>
      <w:r w:rsidR="00A81781">
        <w:t xml:space="preserve"> </w:t>
      </w:r>
      <w:r>
        <w:t>Development and Religion (</w:t>
      </w:r>
      <w:proofErr w:type="spellStart"/>
      <w:r>
        <w:t>DfCDR</w:t>
      </w:r>
      <w:proofErr w:type="spellEnd"/>
      <w:r>
        <w:t>).</w:t>
      </w:r>
    </w:p>
    <w:p w14:paraId="545EAEB2" w14:textId="77777777" w:rsidR="00A81781" w:rsidRDefault="00A81781" w:rsidP="007526BF">
      <w:pPr>
        <w:pStyle w:val="Body"/>
        <w:spacing w:after="0" w:line="240" w:lineRule="auto"/>
        <w:jc w:val="both"/>
      </w:pPr>
    </w:p>
    <w:p w14:paraId="5F224743" w14:textId="0326A61D" w:rsidR="00C00B99" w:rsidRDefault="00C00B99" w:rsidP="007526BF">
      <w:pPr>
        <w:pStyle w:val="Body"/>
        <w:spacing w:after="0" w:line="240" w:lineRule="auto"/>
        <w:jc w:val="both"/>
      </w:pPr>
      <w:r>
        <w:t xml:space="preserve">To support the </w:t>
      </w:r>
      <w:proofErr w:type="spellStart"/>
      <w:r>
        <w:t>DfCDR</w:t>
      </w:r>
      <w:proofErr w:type="spellEnd"/>
      <w:r>
        <w:t>, UNFPA will hire a National Consultant who will be supported</w:t>
      </w:r>
      <w:r w:rsidR="00A81781">
        <w:t xml:space="preserve"> </w:t>
      </w:r>
      <w:r>
        <w:t>by a data specialist who will do a mapping of what GBV incidence data</w:t>
      </w:r>
      <w:r w:rsidR="00A81781">
        <w:t xml:space="preserve"> </w:t>
      </w:r>
      <w:r>
        <w:t>administrative systems are available at the national and sub-national levels and</w:t>
      </w:r>
      <w:r w:rsidR="00A81781">
        <w:t xml:space="preserve"> </w:t>
      </w:r>
      <w:r>
        <w:t>provide recommendations on how these systems could interface, including the use</w:t>
      </w:r>
      <w:r w:rsidR="00A81781">
        <w:t xml:space="preserve"> </w:t>
      </w:r>
      <w:r>
        <w:t>of data sharing protocols. This will be supported by the EU Spotlight funding.</w:t>
      </w:r>
    </w:p>
    <w:p w14:paraId="7CBF573C" w14:textId="77777777" w:rsidR="00A81781" w:rsidRDefault="00A81781" w:rsidP="007526BF">
      <w:pPr>
        <w:pStyle w:val="Body"/>
        <w:spacing w:after="0" w:line="240" w:lineRule="auto"/>
        <w:jc w:val="both"/>
      </w:pPr>
    </w:p>
    <w:p w14:paraId="73A209BA" w14:textId="13F00F05" w:rsidR="00C00B99" w:rsidRDefault="00C00B99" w:rsidP="007526BF">
      <w:pPr>
        <w:pStyle w:val="Body"/>
        <w:spacing w:after="0" w:line="240" w:lineRule="auto"/>
        <w:jc w:val="both"/>
      </w:pPr>
      <w:r>
        <w:t>The other challenge in GBV prevention in PNG is that the facility-based referral</w:t>
      </w:r>
      <w:r w:rsidR="00A81781">
        <w:t xml:space="preserve"> </w:t>
      </w:r>
      <w:r>
        <w:t>pathway standard operating procedures and health-based case management</w:t>
      </w:r>
      <w:r w:rsidR="00A81781">
        <w:t xml:space="preserve"> </w:t>
      </w:r>
      <w:r>
        <w:t xml:space="preserve">protocol have not been fully </w:t>
      </w:r>
      <w:r w:rsidR="00A81781">
        <w:t>institutionalized</w:t>
      </w:r>
      <w:r>
        <w:t xml:space="preserve"> in hospitals in PNG for the Family</w:t>
      </w:r>
      <w:r w:rsidR="00A81781">
        <w:t xml:space="preserve"> </w:t>
      </w:r>
      <w:r>
        <w:t>Support Centers and case referrals in FSCs need to be well-coordinated.</w:t>
      </w:r>
    </w:p>
    <w:p w14:paraId="23BB9C97" w14:textId="77777777" w:rsidR="00A81781" w:rsidRDefault="00A81781" w:rsidP="007526BF">
      <w:pPr>
        <w:pStyle w:val="Body"/>
        <w:spacing w:after="0" w:line="240" w:lineRule="auto"/>
        <w:jc w:val="both"/>
      </w:pPr>
    </w:p>
    <w:p w14:paraId="27E4641E" w14:textId="523ECB88" w:rsidR="004A2B89" w:rsidRDefault="00C00B99" w:rsidP="007526BF">
      <w:pPr>
        <w:pStyle w:val="Body"/>
        <w:spacing w:after="0" w:line="240" w:lineRule="auto"/>
        <w:jc w:val="both"/>
      </w:pPr>
      <w:r>
        <w:t>Hence, in addition to supporting important work to inform the setting up of a National</w:t>
      </w:r>
      <w:r w:rsidR="00A81781">
        <w:t xml:space="preserve"> </w:t>
      </w:r>
      <w:r>
        <w:t xml:space="preserve">GBV Data Incidence, the National Consultant will work on the </w:t>
      </w:r>
      <w:r w:rsidR="00A81781">
        <w:t>institutionalization</w:t>
      </w:r>
      <w:r>
        <w:t xml:space="preserve"> of</w:t>
      </w:r>
      <w:r w:rsidR="00A81781">
        <w:t xml:space="preserve"> </w:t>
      </w:r>
      <w:r>
        <w:t xml:space="preserve">the </w:t>
      </w:r>
      <w:r w:rsidR="00A81781">
        <w:t>facility-based</w:t>
      </w:r>
      <w:r>
        <w:t xml:space="preserve"> referral pathway SOPs and </w:t>
      </w:r>
      <w:r w:rsidR="00A81781">
        <w:t>health-based</w:t>
      </w:r>
      <w:r>
        <w:t xml:space="preserve"> GBV case management</w:t>
      </w:r>
      <w:r w:rsidR="00A81781">
        <w:t xml:space="preserve"> </w:t>
      </w:r>
      <w:r>
        <w:t>protocol in hospitals for Family Support Centers (FSCs) and coordination of case</w:t>
      </w:r>
      <w:r w:rsidR="00A81781">
        <w:t xml:space="preserve"> </w:t>
      </w:r>
      <w:r>
        <w:t xml:space="preserve">referrals from FSCs in one province for each of the </w:t>
      </w:r>
      <w:r w:rsidR="00A81781">
        <w:t xml:space="preserve">four regions of PNG under EU </w:t>
      </w:r>
      <w:r>
        <w:t>Spotlight Funding.</w:t>
      </w:r>
    </w:p>
    <w:p w14:paraId="4E12F05B" w14:textId="3E912D33" w:rsidR="00A81781" w:rsidRDefault="00A81781" w:rsidP="007526BF">
      <w:pPr>
        <w:pStyle w:val="Body"/>
        <w:spacing w:after="0" w:line="240" w:lineRule="auto"/>
        <w:jc w:val="both"/>
      </w:pPr>
    </w:p>
    <w:p w14:paraId="121B80CA" w14:textId="17295667" w:rsidR="006924BD" w:rsidRPr="001D3A7B" w:rsidRDefault="004E506B" w:rsidP="001D3A7B">
      <w:pPr>
        <w:pStyle w:val="Body"/>
        <w:spacing w:after="0"/>
        <w:jc w:val="both"/>
        <w:rPr>
          <w:b/>
          <w:bCs/>
          <w:color w:val="244061"/>
          <w:sz w:val="20"/>
          <w:szCs w:val="20"/>
          <w:u w:color="244061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 xml:space="preserve">Scope of work </w:t>
      </w:r>
    </w:p>
    <w:p w14:paraId="684CFD15" w14:textId="0FACDABD" w:rsidR="00C00B99" w:rsidRPr="00C00B99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/>
          <w:sz w:val="20"/>
          <w:szCs w:val="20"/>
        </w:rPr>
        <w:t>For the national GBV incidence data system, with the overall guidance of the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 xml:space="preserve">Country Representative and Deputy </w:t>
      </w:r>
      <w:r w:rsidR="00A81781">
        <w:rPr>
          <w:rFonts w:ascii="Calibri" w:hAnsi="Calibri" w:cs="Calibri"/>
          <w:sz w:val="20"/>
          <w:szCs w:val="20"/>
        </w:rPr>
        <w:t xml:space="preserve">Representative the National GBV </w:t>
      </w:r>
      <w:r w:rsidRPr="00C00B99">
        <w:rPr>
          <w:rFonts w:ascii="Calibri" w:hAnsi="Calibri" w:cs="Calibri"/>
          <w:sz w:val="20"/>
          <w:szCs w:val="20"/>
        </w:rPr>
        <w:t>Consultant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>with the assistance of the data specialist will:</w:t>
      </w:r>
    </w:p>
    <w:p w14:paraId="1B32DAC6" w14:textId="1A0860E2" w:rsidR="00743231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 w:hint="eastAsia"/>
          <w:sz w:val="20"/>
          <w:szCs w:val="20"/>
        </w:rPr>
        <w:lastRenderedPageBreak/>
        <w:t>● Prepare the inception report, drafts</w:t>
      </w:r>
      <w:r w:rsidR="00A81781">
        <w:rPr>
          <w:rFonts w:ascii="Calibri" w:hAnsi="Calibri" w:cs="Calibri"/>
          <w:sz w:val="20"/>
          <w:szCs w:val="20"/>
        </w:rPr>
        <w:t>,</w:t>
      </w:r>
      <w:r w:rsidRPr="00C00B99">
        <w:rPr>
          <w:rFonts w:ascii="Calibri" w:hAnsi="Calibri" w:cs="Calibri" w:hint="eastAsia"/>
          <w:sz w:val="20"/>
          <w:szCs w:val="20"/>
        </w:rPr>
        <w:t xml:space="preserve"> and final version of the report;</w:t>
      </w:r>
    </w:p>
    <w:p w14:paraId="4E798429" w14:textId="77777777" w:rsidR="00A81781" w:rsidRDefault="00A81781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</w:p>
    <w:p w14:paraId="70555F01" w14:textId="42997C86" w:rsidR="00C00B99" w:rsidRPr="00A81781" w:rsidRDefault="00C00B99" w:rsidP="000069EE">
      <w:pPr>
        <w:pStyle w:val="TableParagraph"/>
        <w:numPr>
          <w:ilvl w:val="0"/>
          <w:numId w:val="11"/>
        </w:numPr>
        <w:tabs>
          <w:tab w:val="left" w:pos="896"/>
        </w:tabs>
        <w:spacing w:before="1" w:line="259" w:lineRule="auto"/>
        <w:ind w:left="284" w:right="158" w:hanging="284"/>
        <w:jc w:val="both"/>
        <w:rPr>
          <w:rFonts w:ascii="Calibri" w:hAnsi="Calibri" w:cs="Calibri"/>
          <w:sz w:val="20"/>
          <w:szCs w:val="20"/>
        </w:rPr>
      </w:pPr>
      <w:r w:rsidRPr="00A81781">
        <w:rPr>
          <w:rFonts w:ascii="Calibri" w:hAnsi="Calibri" w:cs="Calibri"/>
          <w:sz w:val="20"/>
          <w:szCs w:val="20"/>
        </w:rPr>
        <w:t>Undertake a comprehensive mapping of national and sub-national GBV</w:t>
      </w:r>
      <w:r w:rsidR="00A81781" w:rsidRPr="00A81781">
        <w:rPr>
          <w:rFonts w:ascii="Calibri" w:hAnsi="Calibri" w:cs="Calibri"/>
          <w:sz w:val="20"/>
          <w:szCs w:val="20"/>
        </w:rPr>
        <w:t xml:space="preserve"> </w:t>
      </w:r>
      <w:r w:rsidRPr="00A81781">
        <w:rPr>
          <w:rFonts w:ascii="Calibri" w:hAnsi="Calibri" w:cs="Calibri"/>
          <w:sz w:val="20"/>
          <w:szCs w:val="20"/>
        </w:rPr>
        <w:t>administrative data in the country. This includes collection, analytics</w:t>
      </w:r>
      <w:r w:rsidR="00A81781">
        <w:rPr>
          <w:rFonts w:ascii="Calibri" w:hAnsi="Calibri" w:cs="Calibri"/>
          <w:sz w:val="20"/>
          <w:szCs w:val="20"/>
        </w:rPr>
        <w:t>,</w:t>
      </w:r>
      <w:r w:rsidRPr="00A81781">
        <w:rPr>
          <w:rFonts w:ascii="Calibri" w:hAnsi="Calibri" w:cs="Calibri"/>
          <w:sz w:val="20"/>
          <w:szCs w:val="20"/>
        </w:rPr>
        <w:t xml:space="preserve"> and</w:t>
      </w:r>
      <w:r w:rsidR="00A81781" w:rsidRPr="00A81781">
        <w:rPr>
          <w:rFonts w:ascii="Calibri" w:hAnsi="Calibri" w:cs="Calibri"/>
          <w:sz w:val="20"/>
          <w:szCs w:val="20"/>
        </w:rPr>
        <w:t xml:space="preserve"> </w:t>
      </w:r>
      <w:r w:rsidRPr="00A81781">
        <w:rPr>
          <w:rFonts w:ascii="Calibri" w:hAnsi="Calibri" w:cs="Calibri"/>
          <w:sz w:val="20"/>
          <w:szCs w:val="20"/>
        </w:rPr>
        <w:t>dissemination of GBV data.</w:t>
      </w:r>
    </w:p>
    <w:p w14:paraId="35FFEFAF" w14:textId="7AA83A2A" w:rsidR="00C00B99" w:rsidRPr="00C00B99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 w:hint="eastAsia"/>
          <w:sz w:val="20"/>
          <w:szCs w:val="20"/>
        </w:rPr>
        <w:t>● Hold a consultative workshop with key stakeholders, including Government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 xml:space="preserve">and Civil Society Organizations, including the academe, faith-based </w:t>
      </w:r>
      <w:r w:rsidR="00A81781">
        <w:rPr>
          <w:rFonts w:ascii="Calibri" w:hAnsi="Calibri" w:cs="Calibri"/>
          <w:sz w:val="20"/>
          <w:szCs w:val="20"/>
        </w:rPr>
        <w:t>organizations</w:t>
      </w:r>
      <w:r w:rsidRPr="00C00B99">
        <w:rPr>
          <w:rFonts w:ascii="Calibri" w:hAnsi="Calibri" w:cs="Calibri"/>
          <w:sz w:val="20"/>
          <w:szCs w:val="20"/>
        </w:rPr>
        <w:t>,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>people with disability</w:t>
      </w:r>
      <w:r w:rsidR="00A81781">
        <w:rPr>
          <w:rFonts w:ascii="Calibri" w:hAnsi="Calibri" w:cs="Calibri"/>
          <w:sz w:val="20"/>
          <w:szCs w:val="20"/>
        </w:rPr>
        <w:t>,</w:t>
      </w:r>
      <w:r w:rsidRPr="00C00B99">
        <w:rPr>
          <w:rFonts w:ascii="Calibri" w:hAnsi="Calibri" w:cs="Calibri"/>
          <w:sz w:val="20"/>
          <w:szCs w:val="20"/>
        </w:rPr>
        <w:t xml:space="preserve"> and young people to present the findings and key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>recommendations – the latter in the form of an options paper with a proposed</w:t>
      </w:r>
    </w:p>
    <w:p w14:paraId="369AEFEE" w14:textId="77777777" w:rsidR="00C00B99" w:rsidRPr="00C00B99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/>
          <w:sz w:val="20"/>
          <w:szCs w:val="20"/>
        </w:rPr>
        <w:t>budget.</w:t>
      </w:r>
    </w:p>
    <w:p w14:paraId="41944037" w14:textId="3892FF5C" w:rsidR="00C00B99" w:rsidRPr="00C00B99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 w:hint="eastAsia"/>
          <w:sz w:val="20"/>
          <w:szCs w:val="20"/>
        </w:rPr>
        <w:t>● Draft presentation and action points/minutes of the meeting and prepare and</w:t>
      </w:r>
      <w:r w:rsidR="00A81781">
        <w:rPr>
          <w:rFonts w:ascii="Calibri" w:hAnsi="Calibri" w:cs="Calibri"/>
          <w:sz w:val="20"/>
          <w:szCs w:val="20"/>
        </w:rPr>
        <w:t xml:space="preserve"> finalize</w:t>
      </w:r>
      <w:r w:rsidRPr="00C00B99">
        <w:rPr>
          <w:rFonts w:ascii="Calibri" w:hAnsi="Calibri" w:cs="Calibri"/>
          <w:sz w:val="20"/>
          <w:szCs w:val="20"/>
        </w:rPr>
        <w:t xml:space="preserve"> the draft report (outcome) of the consultation.</w:t>
      </w:r>
    </w:p>
    <w:p w14:paraId="57D11213" w14:textId="62B13486" w:rsidR="00C00B99" w:rsidRDefault="00C00B99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  <w:r w:rsidRPr="00C00B99">
        <w:rPr>
          <w:rFonts w:ascii="Calibri" w:hAnsi="Calibri" w:cs="Calibri"/>
          <w:sz w:val="20"/>
          <w:szCs w:val="20"/>
        </w:rPr>
        <w:t xml:space="preserve">For the </w:t>
      </w:r>
      <w:r w:rsidR="00A81781" w:rsidRPr="00C00B99">
        <w:rPr>
          <w:rFonts w:ascii="Calibri" w:hAnsi="Calibri" w:cs="Calibri"/>
          <w:sz w:val="20"/>
          <w:szCs w:val="20"/>
        </w:rPr>
        <w:t>institutionalization</w:t>
      </w:r>
      <w:r w:rsidRPr="00C00B99">
        <w:rPr>
          <w:rFonts w:ascii="Calibri" w:hAnsi="Calibri" w:cs="Calibri"/>
          <w:sz w:val="20"/>
          <w:szCs w:val="20"/>
        </w:rPr>
        <w:t xml:space="preserve"> of </w:t>
      </w:r>
      <w:r w:rsidR="00A81781">
        <w:rPr>
          <w:rFonts w:ascii="Calibri" w:hAnsi="Calibri" w:cs="Calibri"/>
          <w:sz w:val="20"/>
          <w:szCs w:val="20"/>
        </w:rPr>
        <w:t>facility-based</w:t>
      </w:r>
      <w:r w:rsidRPr="00C00B99">
        <w:rPr>
          <w:rFonts w:ascii="Calibri" w:hAnsi="Calibri" w:cs="Calibri"/>
          <w:sz w:val="20"/>
          <w:szCs w:val="20"/>
        </w:rPr>
        <w:t xml:space="preserve"> referral pathway SOPs and </w:t>
      </w:r>
      <w:r w:rsidR="00A81781">
        <w:rPr>
          <w:rFonts w:ascii="Calibri" w:hAnsi="Calibri" w:cs="Calibri"/>
          <w:sz w:val="20"/>
          <w:szCs w:val="20"/>
        </w:rPr>
        <w:t xml:space="preserve">health-based </w:t>
      </w:r>
      <w:r w:rsidRPr="00C00B99">
        <w:rPr>
          <w:rFonts w:ascii="Calibri" w:hAnsi="Calibri" w:cs="Calibri"/>
          <w:sz w:val="20"/>
          <w:szCs w:val="20"/>
        </w:rPr>
        <w:t>GBV case management protocol in hospitals for FSC and coordination of case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>referrals from FSC, documents will need to be developed and rolled out in Spotlight</w:t>
      </w:r>
      <w:r w:rsidR="00A81781">
        <w:rPr>
          <w:rFonts w:ascii="Calibri" w:hAnsi="Calibri" w:cs="Calibri"/>
          <w:sz w:val="20"/>
          <w:szCs w:val="20"/>
        </w:rPr>
        <w:t xml:space="preserve"> </w:t>
      </w:r>
      <w:r w:rsidRPr="00C00B99">
        <w:rPr>
          <w:rFonts w:ascii="Calibri" w:hAnsi="Calibri" w:cs="Calibri"/>
          <w:sz w:val="20"/>
          <w:szCs w:val="20"/>
        </w:rPr>
        <w:t xml:space="preserve">priority provinces in close coordination with NDOH and </w:t>
      </w:r>
      <w:proofErr w:type="spellStart"/>
      <w:r w:rsidRPr="00C00B99">
        <w:rPr>
          <w:rFonts w:ascii="Calibri" w:hAnsi="Calibri" w:cs="Calibri"/>
          <w:sz w:val="20"/>
          <w:szCs w:val="20"/>
        </w:rPr>
        <w:t>DfCDR</w:t>
      </w:r>
      <w:proofErr w:type="spellEnd"/>
      <w:r w:rsidRPr="00C00B99">
        <w:rPr>
          <w:rFonts w:ascii="Calibri" w:hAnsi="Calibri" w:cs="Calibri"/>
          <w:sz w:val="20"/>
          <w:szCs w:val="20"/>
        </w:rPr>
        <w:t>.</w:t>
      </w:r>
    </w:p>
    <w:p w14:paraId="4338D8D0" w14:textId="77777777" w:rsidR="00A81781" w:rsidRPr="001D3A7B" w:rsidRDefault="00A81781" w:rsidP="00C00B99">
      <w:pPr>
        <w:pStyle w:val="TableParagraph"/>
        <w:tabs>
          <w:tab w:val="left" w:pos="896"/>
        </w:tabs>
        <w:spacing w:before="1" w:line="259" w:lineRule="auto"/>
        <w:ind w:right="158"/>
        <w:jc w:val="both"/>
        <w:rPr>
          <w:rFonts w:ascii="Calibri" w:hAnsi="Calibri" w:cs="Calibri"/>
          <w:sz w:val="20"/>
          <w:szCs w:val="20"/>
        </w:rPr>
      </w:pPr>
    </w:p>
    <w:p w14:paraId="162F84D1" w14:textId="351EFBE3" w:rsidR="00F73CAA" w:rsidRPr="001D3A7B" w:rsidRDefault="006A4AF8" w:rsidP="001D3A7B">
      <w:pPr>
        <w:pStyle w:val="Body"/>
        <w:spacing w:after="0"/>
        <w:jc w:val="both"/>
        <w:rPr>
          <w:b/>
          <w:bCs/>
          <w:color w:val="244061"/>
          <w:sz w:val="20"/>
          <w:szCs w:val="20"/>
          <w:u w:color="244061"/>
        </w:rPr>
      </w:pPr>
      <w:r w:rsidRPr="001D3A7B">
        <w:rPr>
          <w:b/>
          <w:bCs/>
          <w:color w:val="244061"/>
          <w:sz w:val="20"/>
          <w:szCs w:val="20"/>
          <w:u w:color="244061"/>
        </w:rPr>
        <w:t xml:space="preserve">Qualifications and Experience </w:t>
      </w:r>
    </w:p>
    <w:p w14:paraId="3A9CB982" w14:textId="77777777" w:rsidR="004E506B" w:rsidRPr="001D3A7B" w:rsidRDefault="004E506B" w:rsidP="001D3A7B">
      <w:pPr>
        <w:pStyle w:val="TableParagraph"/>
        <w:spacing w:line="250" w:lineRule="exact"/>
        <w:ind w:left="175"/>
        <w:jc w:val="both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  <w:u w:val="single"/>
        </w:rPr>
        <w:t>Qualification</w:t>
      </w:r>
    </w:p>
    <w:p w14:paraId="0AB99F5B" w14:textId="644B3B18" w:rsidR="004A2B89" w:rsidRPr="004A2B89" w:rsidRDefault="00A81781" w:rsidP="00BE4EDE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>Master</w:t>
      </w:r>
      <w:r w:rsidR="004A2B89">
        <w:t xml:space="preserve"> in Public Health or Medical degree; </w:t>
      </w:r>
    </w:p>
    <w:p w14:paraId="56536546" w14:textId="77777777" w:rsidR="004A2B89" w:rsidRPr="004A2B89" w:rsidRDefault="004A2B89" w:rsidP="00BE4EDE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 xml:space="preserve">Training in adolescent and reproductive health in the last five years is desirable; </w:t>
      </w:r>
    </w:p>
    <w:p w14:paraId="53305B9D" w14:textId="77777777" w:rsidR="004A2B89" w:rsidRPr="004A2B89" w:rsidRDefault="004A2B89" w:rsidP="00BE4EDE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 xml:space="preserve">Must be able to remain focused under pressure, with a commitment to working hard and long hours; and </w:t>
      </w:r>
    </w:p>
    <w:p w14:paraId="47643F31" w14:textId="4B5D6AE3" w:rsidR="004A2B89" w:rsidRPr="004A2B89" w:rsidRDefault="004A2B89" w:rsidP="00BE4EDE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>Must be meticulous - have a keen eye for details, looking for excellence/perfection in all technical matters</w:t>
      </w:r>
    </w:p>
    <w:p w14:paraId="59DA7489" w14:textId="77777777" w:rsidR="004A2B89" w:rsidRPr="004A2B89" w:rsidRDefault="004A2B89" w:rsidP="00A81781">
      <w:pPr>
        <w:pStyle w:val="TableParagraph"/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1F42EE68" w14:textId="77777777" w:rsidR="004E506B" w:rsidRPr="001D3A7B" w:rsidRDefault="004E506B" w:rsidP="001D3A7B">
      <w:pPr>
        <w:pStyle w:val="TableParagraph"/>
        <w:spacing w:line="251" w:lineRule="exact"/>
        <w:ind w:left="175"/>
        <w:jc w:val="both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  <w:u w:val="single"/>
        </w:rPr>
        <w:t>Professional</w:t>
      </w:r>
      <w:r w:rsidRPr="001D3A7B">
        <w:rPr>
          <w:rFonts w:ascii="Calibri" w:hAnsi="Calibri" w:cs="Calibri"/>
          <w:spacing w:val="-2"/>
          <w:sz w:val="20"/>
          <w:szCs w:val="20"/>
          <w:u w:val="single"/>
        </w:rPr>
        <w:t xml:space="preserve"> </w:t>
      </w:r>
      <w:r w:rsidRPr="001D3A7B">
        <w:rPr>
          <w:rFonts w:ascii="Calibri" w:hAnsi="Calibri" w:cs="Calibri"/>
          <w:sz w:val="20"/>
          <w:szCs w:val="20"/>
          <w:u w:val="single"/>
        </w:rPr>
        <w:t>experience</w:t>
      </w:r>
    </w:p>
    <w:p w14:paraId="7800BBB3" w14:textId="77777777" w:rsidR="004A2B89" w:rsidRPr="004A2B89" w:rsidRDefault="004A2B89" w:rsidP="004A2B89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>At least five years of solid and recent experience in preparing a country adolescent health analysis;</w:t>
      </w:r>
    </w:p>
    <w:p w14:paraId="6C758C77" w14:textId="5770C618" w:rsidR="004A2B89" w:rsidRPr="004A2B89" w:rsidRDefault="004A2B89" w:rsidP="004A2B89">
      <w:pPr>
        <w:pStyle w:val="TableParagraph"/>
        <w:numPr>
          <w:ilvl w:val="0"/>
          <w:numId w:val="10"/>
        </w:numPr>
        <w:jc w:val="both"/>
        <w:rPr>
          <w:rFonts w:ascii="Calibri" w:hAnsi="Calibri" w:cs="Calibri"/>
          <w:b/>
          <w:sz w:val="20"/>
          <w:szCs w:val="20"/>
        </w:rPr>
      </w:pPr>
      <w:r>
        <w:t>At least five years of work experience in coordination with government entities and civil society organizations, the conduct of workshops/consultations,</w:t>
      </w:r>
    </w:p>
    <w:p w14:paraId="5E394F75" w14:textId="18DDF7ED" w:rsidR="001D3A7B" w:rsidRPr="001D3A7B" w:rsidRDefault="001D3A7B" w:rsidP="001D3A7B">
      <w:pPr>
        <w:pStyle w:val="TableParagraph"/>
        <w:tabs>
          <w:tab w:val="left" w:pos="576"/>
        </w:tabs>
        <w:spacing w:before="17" w:line="223" w:lineRule="auto"/>
        <w:ind w:right="392"/>
        <w:jc w:val="both"/>
        <w:rPr>
          <w:rFonts w:ascii="Calibri" w:hAnsi="Calibri" w:cs="Calibri"/>
          <w:sz w:val="20"/>
          <w:szCs w:val="20"/>
        </w:rPr>
      </w:pPr>
    </w:p>
    <w:p w14:paraId="5AADCBD1" w14:textId="77777777" w:rsidR="001D3A7B" w:rsidRPr="001D3A7B" w:rsidRDefault="001D3A7B" w:rsidP="001D3A7B">
      <w:pPr>
        <w:ind w:hanging="2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1D3A7B">
        <w:rPr>
          <w:rFonts w:ascii="Calibri" w:hAnsi="Calibri" w:cs="Calibri"/>
          <w:b/>
          <w:bCs/>
          <w:sz w:val="20"/>
          <w:szCs w:val="20"/>
          <w:u w:val="single"/>
        </w:rPr>
        <w:t>Competencies</w:t>
      </w:r>
    </w:p>
    <w:p w14:paraId="5870F57A" w14:textId="77777777" w:rsidR="001D3A7B" w:rsidRPr="001D3A7B" w:rsidRDefault="001D3A7B" w:rsidP="00C976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 xml:space="preserve">Values: </w:t>
      </w:r>
    </w:p>
    <w:p w14:paraId="00864063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Exemplifying integrity</w:t>
      </w:r>
    </w:p>
    <w:p w14:paraId="3960BB21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Demonstrating commitment to UNFPA and the UN system</w:t>
      </w:r>
    </w:p>
    <w:p w14:paraId="4EF7BE6D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Embracing cultural diversity</w:t>
      </w:r>
    </w:p>
    <w:p w14:paraId="11512DF2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Embracing change</w:t>
      </w:r>
    </w:p>
    <w:p w14:paraId="725C684A" w14:textId="77777777" w:rsidR="001D3A7B" w:rsidRPr="001D3A7B" w:rsidRDefault="001D3A7B" w:rsidP="00C976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 xml:space="preserve">Core Competencies: </w:t>
      </w:r>
    </w:p>
    <w:p w14:paraId="5E19D4BE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Achieving results</w:t>
      </w:r>
    </w:p>
    <w:p w14:paraId="20037297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Being accountable</w:t>
      </w:r>
    </w:p>
    <w:p w14:paraId="3F4FBE1B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Developing and applying professional expertise/business acumen</w:t>
      </w:r>
    </w:p>
    <w:p w14:paraId="713CF4F0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Thinking analytically and strategically</w:t>
      </w:r>
    </w:p>
    <w:p w14:paraId="4A8D80F1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 xml:space="preserve">Working in teams/managing ourselves and our relationships, </w:t>
      </w:r>
    </w:p>
    <w:p w14:paraId="31986ACE" w14:textId="77777777" w:rsidR="001D3A7B" w:rsidRPr="001D3A7B" w:rsidRDefault="001D3A7B" w:rsidP="00C976AA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1" w:lineRule="atLeast"/>
        <w:ind w:leftChars="152" w:left="367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Communicating for impact</w:t>
      </w:r>
    </w:p>
    <w:p w14:paraId="3F461EBA" w14:textId="77777777" w:rsidR="001D3A7B" w:rsidRPr="001D3A7B" w:rsidRDefault="001D3A7B" w:rsidP="001D3A7B">
      <w:pPr>
        <w:ind w:hanging="2"/>
        <w:jc w:val="both"/>
        <w:rPr>
          <w:rFonts w:ascii="Calibri" w:hAnsi="Calibri" w:cs="Calibri"/>
          <w:sz w:val="20"/>
          <w:szCs w:val="20"/>
        </w:rPr>
      </w:pPr>
    </w:p>
    <w:p w14:paraId="0015A0C3" w14:textId="77777777" w:rsidR="001D3A7B" w:rsidRPr="001D3A7B" w:rsidRDefault="001D3A7B" w:rsidP="001D3A7B">
      <w:pPr>
        <w:ind w:hanging="2"/>
        <w:jc w:val="both"/>
        <w:rPr>
          <w:rFonts w:ascii="Calibri" w:hAnsi="Calibri" w:cs="Calibri"/>
          <w:b/>
          <w:bCs/>
          <w:sz w:val="20"/>
          <w:szCs w:val="20"/>
        </w:rPr>
      </w:pPr>
      <w:r w:rsidRPr="001D3A7B">
        <w:rPr>
          <w:rFonts w:ascii="Calibri" w:hAnsi="Calibri" w:cs="Calibri"/>
          <w:b/>
          <w:bCs/>
          <w:sz w:val="20"/>
          <w:szCs w:val="20"/>
          <w:u w:val="single"/>
        </w:rPr>
        <w:t xml:space="preserve">Languages: </w:t>
      </w:r>
    </w:p>
    <w:p w14:paraId="58C50E7D" w14:textId="77777777" w:rsidR="001D3A7B" w:rsidRPr="001D3A7B" w:rsidRDefault="001D3A7B" w:rsidP="00C976A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59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Calibri" w:hAnsi="Calibri" w:cs="Calibri"/>
          <w:sz w:val="20"/>
          <w:szCs w:val="20"/>
        </w:rPr>
      </w:pPr>
      <w:r w:rsidRPr="001D3A7B">
        <w:rPr>
          <w:rFonts w:ascii="Calibri" w:hAnsi="Calibri" w:cs="Calibri"/>
          <w:sz w:val="20"/>
          <w:szCs w:val="20"/>
        </w:rPr>
        <w:t>Fluency in oral and written English is required.</w:t>
      </w:r>
    </w:p>
    <w:p w14:paraId="1AC9AD5A" w14:textId="77777777" w:rsidR="001D3A7B" w:rsidRPr="001D3A7B" w:rsidRDefault="001D3A7B" w:rsidP="001D3A7B">
      <w:pPr>
        <w:shd w:val="clear" w:color="auto" w:fill="FFFFFF"/>
        <w:spacing w:before="240" w:after="60" w:line="253" w:lineRule="atLeast"/>
        <w:ind w:left="1"/>
        <w:jc w:val="both"/>
        <w:rPr>
          <w:rFonts w:ascii="Calibri" w:eastAsia="Times New Roman" w:hAnsi="Calibri" w:cs="Calibri"/>
          <w:color w:val="500050"/>
          <w:sz w:val="20"/>
          <w:szCs w:val="20"/>
        </w:rPr>
      </w:pP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</w:rPr>
        <w:t>Submission of applications:</w:t>
      </w:r>
    </w:p>
    <w:p w14:paraId="460C11F0" w14:textId="77777777" w:rsidR="001D3A7B" w:rsidRPr="001D3A7B" w:rsidRDefault="001D3A7B" w:rsidP="001D3A7B">
      <w:pPr>
        <w:shd w:val="clear" w:color="auto" w:fill="FFFFFF"/>
        <w:spacing w:after="200"/>
        <w:jc w:val="both"/>
        <w:rPr>
          <w:rFonts w:ascii="Calibri" w:eastAsia="Times New Roman" w:hAnsi="Calibri" w:cs="Calibri"/>
          <w:color w:val="500050"/>
          <w:sz w:val="20"/>
          <w:szCs w:val="20"/>
        </w:rPr>
      </w:pP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</w:rPr>
        <w:t>Interested applicants should submit their applications of interest to:</w:t>
      </w:r>
    </w:p>
    <w:p w14:paraId="5818FF86" w14:textId="59FD8D1F" w:rsidR="001D3A7B" w:rsidRPr="001D3A7B" w:rsidRDefault="001D3A7B" w:rsidP="001D3A7B">
      <w:pPr>
        <w:shd w:val="clear" w:color="auto" w:fill="FFFFFF"/>
        <w:spacing w:after="200"/>
        <w:jc w:val="both"/>
        <w:rPr>
          <w:rFonts w:ascii="Calibri" w:eastAsia="Times New Roman" w:hAnsi="Calibri" w:cs="Calibri"/>
          <w:color w:val="500050"/>
          <w:sz w:val="20"/>
          <w:szCs w:val="20"/>
        </w:rPr>
      </w:pP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 xml:space="preserve">The UNFPA Representative, UNFPA,  Level 14, Kina </w:t>
      </w:r>
      <w:proofErr w:type="spellStart"/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Haus</w:t>
      </w:r>
      <w:proofErr w:type="spellEnd"/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, Douglas Street, PO Box 1041, Port Moresby</w:t>
      </w:r>
      <w:r w:rsidR="00A81781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 xml:space="preserve"> </w:t>
      </w: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on Email: </w:t>
      </w:r>
      <w:hyperlink r:id="rId7" w:tgtFrame="_blank" w:history="1">
        <w:r w:rsidRPr="001D3A7B">
          <w:rPr>
            <w:rFonts w:ascii="Calibri" w:eastAsia="Times New Roman" w:hAnsi="Calibri" w:cs="Calibri"/>
            <w:b/>
            <w:bCs/>
            <w:color w:val="0000FF"/>
            <w:sz w:val="20"/>
            <w:szCs w:val="20"/>
            <w:u w:val="single"/>
            <w:shd w:val="clear" w:color="auto" w:fill="FFFF00"/>
          </w:rPr>
          <w:t>png-recruitment@unfpa.org</w:t>
        </w:r>
      </w:hyperlink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 </w:t>
      </w:r>
      <w:r w:rsidR="00DD6FB3">
        <w:rPr>
          <w:rFonts w:ascii="Calibri" w:eastAsia="Times New Roman" w:hAnsi="Calibri" w:cs="Calibri"/>
          <w:b/>
          <w:bCs/>
          <w:color w:val="500050"/>
          <w:sz w:val="20"/>
          <w:szCs w:val="20"/>
          <w:u w:val="single"/>
          <w:shd w:val="clear" w:color="auto" w:fill="FFFF00"/>
        </w:rPr>
        <w:t xml:space="preserve">no later than 15 </w:t>
      </w:r>
      <w:r w:rsidR="004A2B89">
        <w:rPr>
          <w:rFonts w:ascii="Calibri" w:eastAsia="Times New Roman" w:hAnsi="Calibri" w:cs="Calibri"/>
          <w:b/>
          <w:bCs/>
          <w:color w:val="500050"/>
          <w:sz w:val="20"/>
          <w:szCs w:val="20"/>
          <w:u w:val="single"/>
          <w:shd w:val="clear" w:color="auto" w:fill="FFFF00"/>
        </w:rPr>
        <w:t xml:space="preserve"> </w:t>
      </w: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u w:val="single"/>
          <w:shd w:val="clear" w:color="auto" w:fill="FFFF00"/>
        </w:rPr>
        <w:t>June 2023</w:t>
      </w: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.</w:t>
      </w:r>
    </w:p>
    <w:p w14:paraId="520FA1A1" w14:textId="77777777" w:rsidR="001D3A7B" w:rsidRPr="001D3A7B" w:rsidRDefault="001D3A7B" w:rsidP="001D3A7B">
      <w:pPr>
        <w:shd w:val="clear" w:color="auto" w:fill="FFFFFF"/>
        <w:spacing w:after="200"/>
        <w:jc w:val="both"/>
        <w:rPr>
          <w:rFonts w:ascii="Calibri" w:eastAsia="Times New Roman" w:hAnsi="Calibri" w:cs="Calibri"/>
          <w:color w:val="500050"/>
          <w:sz w:val="20"/>
          <w:szCs w:val="20"/>
        </w:rPr>
      </w:pP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</w:rPr>
        <w:t>This should include:</w:t>
      </w:r>
    </w:p>
    <w:p w14:paraId="3CB8712F" w14:textId="77777777" w:rsidR="001D3A7B" w:rsidRPr="001D3A7B" w:rsidRDefault="001D3A7B" w:rsidP="001D3A7B">
      <w:pPr>
        <w:shd w:val="clear" w:color="auto" w:fill="FFFFFF"/>
        <w:jc w:val="both"/>
        <w:rPr>
          <w:rFonts w:ascii="Calibri" w:eastAsia="Times New Roman" w:hAnsi="Calibri" w:cs="Calibri"/>
          <w:color w:val="500050"/>
          <w:sz w:val="20"/>
          <w:szCs w:val="20"/>
        </w:rPr>
      </w:pPr>
      <w:r w:rsidRPr="001D3A7B">
        <w:rPr>
          <w:rFonts w:ascii="Calibri" w:eastAsia="Times New Roman" w:hAnsi="Calibri" w:cs="Calibri"/>
          <w:b/>
          <w:bCs/>
          <w:color w:val="500050"/>
          <w:sz w:val="20"/>
          <w:szCs w:val="20"/>
          <w:shd w:val="clear" w:color="auto" w:fill="FFFF00"/>
        </w:rPr>
        <w:t>Letter of Interest, CV, and UN Personal History Form</w:t>
      </w:r>
    </w:p>
    <w:p w14:paraId="167CFAAB" w14:textId="77777777" w:rsidR="001D3A7B" w:rsidRPr="001D3A7B" w:rsidRDefault="001D3A7B" w:rsidP="001D3A7B">
      <w:pPr>
        <w:pStyle w:val="TableParagraph"/>
        <w:tabs>
          <w:tab w:val="left" w:pos="576"/>
        </w:tabs>
        <w:spacing w:before="17" w:line="223" w:lineRule="auto"/>
        <w:ind w:right="392"/>
        <w:jc w:val="both"/>
        <w:rPr>
          <w:rFonts w:ascii="Calibri" w:hAnsi="Calibri" w:cs="Calibri"/>
          <w:b/>
        </w:rPr>
      </w:pPr>
    </w:p>
    <w:sectPr w:rsidR="001D3A7B" w:rsidRPr="001D3A7B">
      <w:headerReference w:type="default" r:id="rId8"/>
      <w:footerReference w:type="default" r:id="rId9"/>
      <w:pgSz w:w="11900" w:h="16840"/>
      <w:pgMar w:top="144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C77E" w14:textId="77777777" w:rsidR="00E54761" w:rsidRDefault="00E54761">
      <w:r>
        <w:separator/>
      </w:r>
    </w:p>
  </w:endnote>
  <w:endnote w:type="continuationSeparator" w:id="0">
    <w:p w14:paraId="56D0EA16" w14:textId="77777777" w:rsidR="00E54761" w:rsidRDefault="00E5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Times New Roman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63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22143" w14:textId="0DD1ED48" w:rsidR="00333677" w:rsidRDefault="003336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F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EFA516" w14:textId="77777777" w:rsidR="00743231" w:rsidRDefault="00743231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BEACE" w14:textId="77777777" w:rsidR="00E54761" w:rsidRDefault="00E54761">
      <w:r>
        <w:separator/>
      </w:r>
    </w:p>
  </w:footnote>
  <w:footnote w:type="continuationSeparator" w:id="0">
    <w:p w14:paraId="732B3BC5" w14:textId="77777777" w:rsidR="00E54761" w:rsidRDefault="00E5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C0945" w14:textId="77777777" w:rsidR="00743231" w:rsidRDefault="006A4AF8">
    <w:pPr>
      <w:pStyle w:val="Header"/>
      <w:tabs>
        <w:tab w:val="clear" w:pos="9026"/>
        <w:tab w:val="right" w:pos="9000"/>
      </w:tabs>
    </w:pPr>
    <w:r>
      <w:rPr>
        <w:noProof/>
        <w:lang w:val="en-IN" w:eastAsia="en-IN"/>
      </w:rPr>
      <w:drawing>
        <wp:anchor distT="152400" distB="152400" distL="152400" distR="152400" simplePos="0" relativeHeight="251658240" behindDoc="1" locked="0" layoutInCell="1" allowOverlap="1" wp14:anchorId="186B316C" wp14:editId="6353C058">
          <wp:simplePos x="0" y="0"/>
          <wp:positionH relativeFrom="page">
            <wp:posOffset>895350</wp:posOffset>
          </wp:positionH>
          <wp:positionV relativeFrom="page">
            <wp:posOffset>295275</wp:posOffset>
          </wp:positionV>
          <wp:extent cx="1146810" cy="594360"/>
          <wp:effectExtent l="0" t="0" r="0" b="0"/>
          <wp:wrapNone/>
          <wp:docPr id="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81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64DB"/>
    <w:multiLevelType w:val="hybridMultilevel"/>
    <w:tmpl w:val="EEE20A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0D25"/>
    <w:multiLevelType w:val="hybridMultilevel"/>
    <w:tmpl w:val="D6481C34"/>
    <w:styleLink w:val="Bullets"/>
    <w:lvl w:ilvl="0" w:tplc="3CD40D2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5A61B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F66CC8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F8BF8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484D4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D4F28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C120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B2E87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DE048F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6902764"/>
    <w:multiLevelType w:val="hybridMultilevel"/>
    <w:tmpl w:val="B778021C"/>
    <w:styleLink w:val="ImportedStyle10"/>
    <w:lvl w:ilvl="0" w:tplc="6F6E4D96">
      <w:start w:val="1"/>
      <w:numFmt w:val="bullet"/>
      <w:lvlText w:val="·"/>
      <w:lvlJc w:val="left"/>
      <w:pPr>
        <w:ind w:left="7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E80E08">
      <w:start w:val="1"/>
      <w:numFmt w:val="bullet"/>
      <w:lvlText w:val="o"/>
      <w:lvlJc w:val="left"/>
      <w:pPr>
        <w:ind w:left="14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42DEE0">
      <w:start w:val="1"/>
      <w:numFmt w:val="bullet"/>
      <w:lvlText w:val="▪"/>
      <w:lvlJc w:val="left"/>
      <w:pPr>
        <w:ind w:left="21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BEBD20">
      <w:start w:val="1"/>
      <w:numFmt w:val="bullet"/>
      <w:lvlText w:val="·"/>
      <w:lvlJc w:val="left"/>
      <w:pPr>
        <w:ind w:left="29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BE711A">
      <w:start w:val="1"/>
      <w:numFmt w:val="bullet"/>
      <w:lvlText w:val="o"/>
      <w:lvlJc w:val="left"/>
      <w:pPr>
        <w:ind w:left="36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2A0854">
      <w:start w:val="1"/>
      <w:numFmt w:val="bullet"/>
      <w:lvlText w:val="▪"/>
      <w:lvlJc w:val="left"/>
      <w:pPr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80E1D8">
      <w:start w:val="1"/>
      <w:numFmt w:val="bullet"/>
      <w:lvlText w:val="·"/>
      <w:lvlJc w:val="left"/>
      <w:pPr>
        <w:ind w:left="507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6CF57C">
      <w:start w:val="1"/>
      <w:numFmt w:val="bullet"/>
      <w:lvlText w:val="o"/>
      <w:lvlJc w:val="left"/>
      <w:pPr>
        <w:ind w:left="57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F65E54">
      <w:start w:val="1"/>
      <w:numFmt w:val="bullet"/>
      <w:lvlText w:val="▪"/>
      <w:lvlJc w:val="left"/>
      <w:pPr>
        <w:ind w:left="65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6C76373"/>
    <w:multiLevelType w:val="multilevel"/>
    <w:tmpl w:val="188889CA"/>
    <w:lvl w:ilvl="0">
      <w:start w:val="1"/>
      <w:numFmt w:val="bullet"/>
      <w:lvlText w:val="o"/>
      <w:lvlJc w:val="left"/>
      <w:pPr>
        <w:ind w:left="4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E00EA5"/>
    <w:multiLevelType w:val="hybridMultilevel"/>
    <w:tmpl w:val="E0884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F5B39"/>
    <w:multiLevelType w:val="hybridMultilevel"/>
    <w:tmpl w:val="AFDC0E9C"/>
    <w:styleLink w:val="ImportedStyle2"/>
    <w:lvl w:ilvl="0" w:tplc="E6BC7C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48DC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AA01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88F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32AC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7678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62E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0E20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70DB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6E030CA"/>
    <w:multiLevelType w:val="hybridMultilevel"/>
    <w:tmpl w:val="CB4C98C6"/>
    <w:styleLink w:val="ImportedStyle3"/>
    <w:lvl w:ilvl="0" w:tplc="86AABE5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AECE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ECCB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8854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BE81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AA22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76FE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2C2C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90DA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A317661"/>
    <w:multiLevelType w:val="hybridMultilevel"/>
    <w:tmpl w:val="733C5390"/>
    <w:lvl w:ilvl="0" w:tplc="40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6A77186C"/>
    <w:multiLevelType w:val="hybridMultilevel"/>
    <w:tmpl w:val="13749EAC"/>
    <w:lvl w:ilvl="0" w:tplc="C338D216">
      <w:numFmt w:val="bullet"/>
      <w:lvlText w:val="●"/>
      <w:lvlJc w:val="left"/>
      <w:pPr>
        <w:ind w:left="89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0A4F226"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2" w:tplc="5462ABB4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93FCC78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 w:tplc="17D4A536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5" w:tplc="7B5C101C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6" w:tplc="7AC6A3FC"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7" w:tplc="6DCE0BDA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8" w:tplc="09404C0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BF664B4"/>
    <w:multiLevelType w:val="hybridMultilevel"/>
    <w:tmpl w:val="51F485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02C51"/>
    <w:multiLevelType w:val="hybridMultilevel"/>
    <w:tmpl w:val="B9F8DC66"/>
    <w:lvl w:ilvl="0" w:tplc="E378338C">
      <w:numFmt w:val="bullet"/>
      <w:lvlText w:val="o"/>
      <w:lvlJc w:val="left"/>
      <w:pPr>
        <w:ind w:left="57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FDE6F0CC">
      <w:numFmt w:val="bullet"/>
      <w:lvlText w:val="o"/>
      <w:lvlJc w:val="left"/>
      <w:pPr>
        <w:ind w:left="1295" w:hanging="360"/>
      </w:pPr>
      <w:rPr>
        <w:rFonts w:ascii="Courier New" w:eastAsia="Courier New" w:hAnsi="Courier New" w:cs="Courier New" w:hint="default"/>
        <w:w w:val="100"/>
        <w:position w:val="2"/>
        <w:sz w:val="22"/>
        <w:szCs w:val="22"/>
        <w:lang w:val="en-US" w:eastAsia="en-US" w:bidi="ar-SA"/>
      </w:rPr>
    </w:lvl>
    <w:lvl w:ilvl="2" w:tplc="5630BF9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3" w:tplc="225A5DA0">
      <w:numFmt w:val="bullet"/>
      <w:lvlText w:val="•"/>
      <w:lvlJc w:val="left"/>
      <w:pPr>
        <w:ind w:left="2099" w:hanging="360"/>
      </w:pPr>
      <w:rPr>
        <w:rFonts w:hint="default"/>
        <w:lang w:val="en-US" w:eastAsia="en-US" w:bidi="ar-SA"/>
      </w:rPr>
    </w:lvl>
    <w:lvl w:ilvl="4" w:tplc="27400628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5" w:tplc="A2FC1370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6" w:tplc="FB384D4E">
      <w:numFmt w:val="bullet"/>
      <w:lvlText w:val="•"/>
      <w:lvlJc w:val="left"/>
      <w:pPr>
        <w:ind w:left="4497" w:hanging="360"/>
      </w:pPr>
      <w:rPr>
        <w:rFonts w:hint="default"/>
        <w:lang w:val="en-US" w:eastAsia="en-US" w:bidi="ar-SA"/>
      </w:rPr>
    </w:lvl>
    <w:lvl w:ilvl="7" w:tplc="18524052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8" w:tplc="E282207E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31"/>
    <w:rsid w:val="00007634"/>
    <w:rsid w:val="00015614"/>
    <w:rsid w:val="000276C9"/>
    <w:rsid w:val="0004109C"/>
    <w:rsid w:val="00055E5D"/>
    <w:rsid w:val="00062EB9"/>
    <w:rsid w:val="00063AD0"/>
    <w:rsid w:val="000765C1"/>
    <w:rsid w:val="00082017"/>
    <w:rsid w:val="00086BC2"/>
    <w:rsid w:val="000B2370"/>
    <w:rsid w:val="000C43B8"/>
    <w:rsid w:val="000C5AEC"/>
    <w:rsid w:val="001135F5"/>
    <w:rsid w:val="00126007"/>
    <w:rsid w:val="00162E13"/>
    <w:rsid w:val="00186F52"/>
    <w:rsid w:val="0019384F"/>
    <w:rsid w:val="001A6935"/>
    <w:rsid w:val="001B4289"/>
    <w:rsid w:val="001B4567"/>
    <w:rsid w:val="001D3A7B"/>
    <w:rsid w:val="001E2986"/>
    <w:rsid w:val="001F4CC9"/>
    <w:rsid w:val="0020584D"/>
    <w:rsid w:val="002106C6"/>
    <w:rsid w:val="0023743D"/>
    <w:rsid w:val="00243039"/>
    <w:rsid w:val="00250840"/>
    <w:rsid w:val="00281E3F"/>
    <w:rsid w:val="002B45AB"/>
    <w:rsid w:val="00301D9B"/>
    <w:rsid w:val="00333677"/>
    <w:rsid w:val="00335E30"/>
    <w:rsid w:val="00342A38"/>
    <w:rsid w:val="0035784F"/>
    <w:rsid w:val="00364310"/>
    <w:rsid w:val="00364FB9"/>
    <w:rsid w:val="003809A7"/>
    <w:rsid w:val="003A17A3"/>
    <w:rsid w:val="003D237F"/>
    <w:rsid w:val="003D702F"/>
    <w:rsid w:val="00414684"/>
    <w:rsid w:val="004239B4"/>
    <w:rsid w:val="00457AAD"/>
    <w:rsid w:val="0048262D"/>
    <w:rsid w:val="0048543A"/>
    <w:rsid w:val="004A072C"/>
    <w:rsid w:val="004A21FB"/>
    <w:rsid w:val="004A2B89"/>
    <w:rsid w:val="004A31FF"/>
    <w:rsid w:val="004C6D25"/>
    <w:rsid w:val="004E37F1"/>
    <w:rsid w:val="004E506B"/>
    <w:rsid w:val="004F46AD"/>
    <w:rsid w:val="00511BC3"/>
    <w:rsid w:val="0052782C"/>
    <w:rsid w:val="00534B36"/>
    <w:rsid w:val="005401DA"/>
    <w:rsid w:val="00543B04"/>
    <w:rsid w:val="00544770"/>
    <w:rsid w:val="00551AC4"/>
    <w:rsid w:val="0055410A"/>
    <w:rsid w:val="00583173"/>
    <w:rsid w:val="00593F6C"/>
    <w:rsid w:val="00596D95"/>
    <w:rsid w:val="005A3C71"/>
    <w:rsid w:val="005B7758"/>
    <w:rsid w:val="005C6E63"/>
    <w:rsid w:val="005D6313"/>
    <w:rsid w:val="005E0232"/>
    <w:rsid w:val="005E2229"/>
    <w:rsid w:val="005E2367"/>
    <w:rsid w:val="005E6955"/>
    <w:rsid w:val="00613BA6"/>
    <w:rsid w:val="00641CD8"/>
    <w:rsid w:val="00652499"/>
    <w:rsid w:val="00670126"/>
    <w:rsid w:val="006741CD"/>
    <w:rsid w:val="006924BD"/>
    <w:rsid w:val="006A4AF8"/>
    <w:rsid w:val="006C69CA"/>
    <w:rsid w:val="00703828"/>
    <w:rsid w:val="0070635E"/>
    <w:rsid w:val="007113B3"/>
    <w:rsid w:val="00731668"/>
    <w:rsid w:val="00732422"/>
    <w:rsid w:val="00733AE5"/>
    <w:rsid w:val="00743231"/>
    <w:rsid w:val="007526BF"/>
    <w:rsid w:val="00761572"/>
    <w:rsid w:val="00777CCE"/>
    <w:rsid w:val="0079740E"/>
    <w:rsid w:val="007A686D"/>
    <w:rsid w:val="007B25A1"/>
    <w:rsid w:val="007D0071"/>
    <w:rsid w:val="007E668F"/>
    <w:rsid w:val="007F0920"/>
    <w:rsid w:val="007F1361"/>
    <w:rsid w:val="007F5078"/>
    <w:rsid w:val="00834C90"/>
    <w:rsid w:val="00840FED"/>
    <w:rsid w:val="008439D7"/>
    <w:rsid w:val="00851B7D"/>
    <w:rsid w:val="008A6232"/>
    <w:rsid w:val="008C0E7E"/>
    <w:rsid w:val="008C6927"/>
    <w:rsid w:val="008D54E8"/>
    <w:rsid w:val="008F0F99"/>
    <w:rsid w:val="00911C19"/>
    <w:rsid w:val="00924F88"/>
    <w:rsid w:val="009462E8"/>
    <w:rsid w:val="009511F7"/>
    <w:rsid w:val="00951875"/>
    <w:rsid w:val="00954D71"/>
    <w:rsid w:val="00960278"/>
    <w:rsid w:val="00961F1E"/>
    <w:rsid w:val="00961FD4"/>
    <w:rsid w:val="009657FB"/>
    <w:rsid w:val="00995EDA"/>
    <w:rsid w:val="009C0FE0"/>
    <w:rsid w:val="009C3A70"/>
    <w:rsid w:val="009C50BD"/>
    <w:rsid w:val="009C6F81"/>
    <w:rsid w:val="00A26027"/>
    <w:rsid w:val="00A37FFC"/>
    <w:rsid w:val="00A511D3"/>
    <w:rsid w:val="00A81781"/>
    <w:rsid w:val="00A90A70"/>
    <w:rsid w:val="00AA4915"/>
    <w:rsid w:val="00AC286B"/>
    <w:rsid w:val="00AD1039"/>
    <w:rsid w:val="00AF2507"/>
    <w:rsid w:val="00AF6775"/>
    <w:rsid w:val="00B17E5F"/>
    <w:rsid w:val="00B2296D"/>
    <w:rsid w:val="00B35AAC"/>
    <w:rsid w:val="00B41106"/>
    <w:rsid w:val="00B4225A"/>
    <w:rsid w:val="00B45F56"/>
    <w:rsid w:val="00B6768A"/>
    <w:rsid w:val="00B85829"/>
    <w:rsid w:val="00B87131"/>
    <w:rsid w:val="00B971F2"/>
    <w:rsid w:val="00B975B5"/>
    <w:rsid w:val="00BB1470"/>
    <w:rsid w:val="00BD323E"/>
    <w:rsid w:val="00BF6AFF"/>
    <w:rsid w:val="00C00B99"/>
    <w:rsid w:val="00C15325"/>
    <w:rsid w:val="00C2601D"/>
    <w:rsid w:val="00C31D5B"/>
    <w:rsid w:val="00C327AF"/>
    <w:rsid w:val="00C709FC"/>
    <w:rsid w:val="00C73E2B"/>
    <w:rsid w:val="00C76423"/>
    <w:rsid w:val="00C9561F"/>
    <w:rsid w:val="00C95AC5"/>
    <w:rsid w:val="00C965A5"/>
    <w:rsid w:val="00C976AA"/>
    <w:rsid w:val="00CF4541"/>
    <w:rsid w:val="00D00CFC"/>
    <w:rsid w:val="00D04542"/>
    <w:rsid w:val="00D31B24"/>
    <w:rsid w:val="00D33EA4"/>
    <w:rsid w:val="00D41B4E"/>
    <w:rsid w:val="00D47252"/>
    <w:rsid w:val="00D56E43"/>
    <w:rsid w:val="00D7392B"/>
    <w:rsid w:val="00D91CB4"/>
    <w:rsid w:val="00DA4109"/>
    <w:rsid w:val="00DA5680"/>
    <w:rsid w:val="00DC523D"/>
    <w:rsid w:val="00DD6FB3"/>
    <w:rsid w:val="00DE61D4"/>
    <w:rsid w:val="00E1245B"/>
    <w:rsid w:val="00E1293D"/>
    <w:rsid w:val="00E16856"/>
    <w:rsid w:val="00E168B4"/>
    <w:rsid w:val="00E379FD"/>
    <w:rsid w:val="00E5138D"/>
    <w:rsid w:val="00E52145"/>
    <w:rsid w:val="00E52A9F"/>
    <w:rsid w:val="00E54761"/>
    <w:rsid w:val="00E8464E"/>
    <w:rsid w:val="00EA2B51"/>
    <w:rsid w:val="00ED439C"/>
    <w:rsid w:val="00F13793"/>
    <w:rsid w:val="00F3781B"/>
    <w:rsid w:val="00F73CAA"/>
    <w:rsid w:val="00FB3BF0"/>
    <w:rsid w:val="00F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70180"/>
  <w15:docId w15:val="{301AD122-35D3-480B-AFEF-C6179315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ListParagraph">
    <w:name w:val="List Paragraph"/>
    <w:aliases w:val="List Paragraph (numbered (a)),List Paragraph1"/>
    <w:link w:val="ListParagraphChar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0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nhideWhenUsed/>
    <w:rsid w:val="00851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1B7D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7D"/>
    <w:rPr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rsid w:val="000C5A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C5AEC"/>
    <w:rPr>
      <w:rFonts w:ascii="Tahoma" w:eastAsia="Times New Roman" w:hAnsi="Tahoma" w:cs="Tahoma"/>
      <w:sz w:val="16"/>
      <w:szCs w:val="16"/>
      <w:bdr w:val="none" w:sz="0" w:space="0" w:color="auto"/>
      <w:lang w:val="en-US" w:eastAsia="en-US"/>
    </w:rPr>
  </w:style>
  <w:style w:type="character" w:styleId="Strong">
    <w:name w:val="Strong"/>
    <w:uiPriority w:val="22"/>
    <w:qFormat/>
    <w:rsid w:val="005E0232"/>
    <w:rPr>
      <w:b/>
      <w:bCs/>
    </w:rPr>
  </w:style>
  <w:style w:type="paragraph" w:styleId="BodyText2">
    <w:name w:val="Body Text 2"/>
    <w:basedOn w:val="Normal"/>
    <w:link w:val="BodyText2Char"/>
    <w:rsid w:val="00FB3B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Cs w:val="20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FB3BF0"/>
    <w:rPr>
      <w:rFonts w:eastAsia="Times New Roman"/>
      <w:sz w:val="24"/>
      <w:bdr w:val="none" w:sz="0" w:space="0" w:color="auto"/>
      <w:lang w:val="en-US" w:eastAsia="en-US"/>
    </w:rPr>
  </w:style>
  <w:style w:type="character" w:styleId="Emphasis">
    <w:name w:val="Emphasis"/>
    <w:basedOn w:val="DefaultParagraphFont"/>
    <w:uiPriority w:val="20"/>
    <w:qFormat/>
    <w:rsid w:val="00BF6AFF"/>
    <w:rPr>
      <w:b/>
      <w:bCs/>
      <w:i w:val="0"/>
      <w:iCs w:val="0"/>
    </w:rPr>
  </w:style>
  <w:style w:type="character" w:customStyle="1" w:styleId="st1">
    <w:name w:val="st1"/>
    <w:basedOn w:val="DefaultParagraphFont"/>
    <w:rsid w:val="00BF6AFF"/>
  </w:style>
  <w:style w:type="paragraph" w:styleId="NoSpacing">
    <w:name w:val="No Spacing"/>
    <w:uiPriority w:val="1"/>
    <w:qFormat/>
    <w:rsid w:val="006701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/>
      <w:sz w:val="24"/>
      <w:szCs w:val="24"/>
      <w:bdr w:val="none" w:sz="0" w:space="0" w:color="auto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B25A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ListParagraphChar">
    <w:name w:val="List Paragraph Char"/>
    <w:aliases w:val="List Paragraph (numbered (a)) Char,List Paragraph1 Char"/>
    <w:link w:val="ListParagraph"/>
    <w:uiPriority w:val="34"/>
    <w:locked/>
    <w:rsid w:val="00E5138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3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67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50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ng-recruitment@unfp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985</Words>
  <Characters>5005</Characters>
  <Application>Microsoft Office Word</Application>
  <DocSecurity>0</DocSecurity>
  <Lines>1251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UNFPA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Fernandes</dc:creator>
  <cp:keywords/>
  <dc:description/>
  <cp:lastModifiedBy>4723</cp:lastModifiedBy>
  <cp:revision>3</cp:revision>
  <cp:lastPrinted>2023-06-06T05:25:00Z</cp:lastPrinted>
  <dcterms:created xsi:type="dcterms:W3CDTF">2023-06-07T19:31:00Z</dcterms:created>
  <dcterms:modified xsi:type="dcterms:W3CDTF">2023-06-08T23:24:00Z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2df41c74f1849e99ebc5b2deeb95d12b78fcaae0c254b5b2cd2058edbb9c8ede</vt:lpwstr>
  </property>
</Properties>
</file>